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000000">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000000">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1E01CED3" w:rsidR="002E7E05" w:rsidRDefault="00000000">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AC3906">
        <w:rPr>
          <w:rFonts w:ascii="Arial" w:eastAsia="Arial" w:hAnsi="Arial" w:cs="Arial"/>
          <w:b/>
        </w:rPr>
        <w:t>LOCAL</w:t>
      </w:r>
      <w:r>
        <w:rPr>
          <w:rFonts w:ascii="Arial" w:eastAsia="Arial" w:hAnsi="Arial" w:cs="Arial"/>
          <w:b/>
        </w:rPr>
        <w:t>”</w:t>
      </w:r>
    </w:p>
    <w:p w14:paraId="3A6C3136" w14:textId="30A82D8D" w:rsidR="002E7E05" w:rsidRDefault="00467F69">
      <w:pPr>
        <w:spacing w:line="240" w:lineRule="auto"/>
        <w:ind w:right="622"/>
        <w:jc w:val="center"/>
        <w:rPr>
          <w:rFonts w:ascii="Arial" w:eastAsia="Arial" w:hAnsi="Arial" w:cs="Arial"/>
          <w:b/>
        </w:rPr>
      </w:pPr>
      <w:bookmarkStart w:id="0" w:name="_heading=h.gjdgxs" w:colFirst="0" w:colLast="0"/>
      <w:bookmarkStart w:id="1" w:name="_Hlk137652614"/>
      <w:bookmarkStart w:id="2" w:name="_Hlk179915919"/>
      <w:bookmarkEnd w:id="0"/>
      <w:r>
        <w:rPr>
          <w:rFonts w:ascii="Arial" w:eastAsia="Arial" w:hAnsi="Arial" w:cs="Arial"/>
          <w:b/>
          <w:bCs/>
        </w:rPr>
        <w:t>OM-54/2024</w:t>
      </w:r>
    </w:p>
    <w:p w14:paraId="63A8A547" w14:textId="178A029E" w:rsidR="002E7E05" w:rsidRDefault="00000000">
      <w:pPr>
        <w:spacing w:line="240" w:lineRule="auto"/>
        <w:ind w:right="622"/>
        <w:jc w:val="center"/>
        <w:rPr>
          <w:rFonts w:ascii="Arial" w:eastAsia="Arial" w:hAnsi="Arial" w:cs="Arial"/>
          <w:b/>
        </w:rPr>
      </w:pPr>
      <w:bookmarkStart w:id="3" w:name="_Hlk133395109"/>
      <w:r>
        <w:rPr>
          <w:rFonts w:ascii="Arial" w:eastAsia="Arial" w:hAnsi="Arial" w:cs="Arial"/>
          <w:b/>
        </w:rPr>
        <w:t>“</w:t>
      </w:r>
      <w:bookmarkEnd w:id="1"/>
      <w:bookmarkEnd w:id="3"/>
      <w:r w:rsidR="0098710C">
        <w:rPr>
          <w:rFonts w:ascii="Arial" w:eastAsia="Arial" w:hAnsi="Arial" w:cs="Arial"/>
          <w:b/>
        </w:rPr>
        <w:t xml:space="preserve">ADQUISICIÓN DEL SERVICIO DE </w:t>
      </w:r>
      <w:r w:rsidR="009E48E9">
        <w:rPr>
          <w:rFonts w:ascii="Arial" w:eastAsia="Arial" w:hAnsi="Arial" w:cs="Arial"/>
          <w:b/>
        </w:rPr>
        <w:t>MEJORAMIENTO Y MANTENIMIENTO INTEGRAL URBANO CON CAMIONES DE CORRESPONSABILIDAD PARA LOCALIDADES DEL MUNICIPIO DE TLAJOMULCO DE ZÚÑIGA, JALISCO (RECORTADA)</w:t>
      </w:r>
      <w:r w:rsidR="0098710C">
        <w:rPr>
          <w:rFonts w:ascii="Arial" w:eastAsia="Arial" w:hAnsi="Arial" w:cs="Arial"/>
          <w:b/>
        </w:rPr>
        <w:t>”</w:t>
      </w:r>
    </w:p>
    <w:bookmarkEnd w:id="2"/>
    <w:p w14:paraId="57D98BA1" w14:textId="77777777" w:rsidR="002E7E05" w:rsidRDefault="002E7E05">
      <w:pPr>
        <w:spacing w:line="240" w:lineRule="auto"/>
        <w:ind w:right="622"/>
        <w:jc w:val="center"/>
        <w:rPr>
          <w:rFonts w:ascii="Arial" w:eastAsia="Arial" w:hAnsi="Arial" w:cs="Arial"/>
          <w:b/>
        </w:rPr>
      </w:pPr>
    </w:p>
    <w:p w14:paraId="4FCE7C79" w14:textId="3E3AE9DA" w:rsidR="002E7E05" w:rsidRDefault="00000000">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AC3906">
        <w:rPr>
          <w:rFonts w:ascii="Arial" w:eastAsia="Arial" w:hAnsi="Arial" w:cs="Arial"/>
          <w:color w:val="000000"/>
        </w:rPr>
        <w:t>LOCAL</w:t>
      </w:r>
      <w:r>
        <w:rPr>
          <w:rFonts w:ascii="Arial" w:eastAsia="Arial" w:hAnsi="Arial" w:cs="Arial"/>
          <w:color w:val="000000"/>
        </w:rPr>
        <w:t xml:space="preserve"> para la </w:t>
      </w:r>
      <w:r>
        <w:rPr>
          <w:rFonts w:ascii="Arial" w:eastAsia="Arial" w:hAnsi="Arial" w:cs="Arial"/>
          <w:b/>
          <w:color w:val="000000"/>
        </w:rPr>
        <w:t>“</w:t>
      </w:r>
      <w:r w:rsidR="0098710C">
        <w:rPr>
          <w:rFonts w:ascii="Arial" w:eastAsia="Arial" w:hAnsi="Arial" w:cs="Arial"/>
          <w:b/>
          <w:color w:val="000000"/>
        </w:rPr>
        <w:t xml:space="preserve">ADQUISICIÓN DEL SERVICIO DE </w:t>
      </w:r>
      <w:r w:rsidR="009E48E9">
        <w:rPr>
          <w:rFonts w:ascii="Arial" w:eastAsia="Arial" w:hAnsi="Arial" w:cs="Arial"/>
          <w:b/>
          <w:color w:val="000000"/>
        </w:rPr>
        <w:t>MEJORAMIENTO Y MANTENIMIENTO INTEGRAL URBANO CON CAMIONES DE CORRESPONSABILIDAD PARA LOCALIDADES DEL MUNICIPIO DE TLAJOMULCO DE ZÚÑIGA, JALISCO (RECORTADA)</w:t>
      </w:r>
      <w:r w:rsidR="0098710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000000">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4E0DF5EE" w:rsidR="002E7E05" w:rsidRDefault="00467F69">
            <w:pPr>
              <w:ind w:right="622"/>
              <w:rPr>
                <w:rFonts w:ascii="Arial" w:eastAsia="Arial" w:hAnsi="Arial" w:cs="Arial"/>
              </w:rPr>
            </w:pPr>
            <w:r>
              <w:rPr>
                <w:rFonts w:ascii="Arial" w:eastAsia="Arial" w:hAnsi="Arial" w:cs="Arial"/>
                <w:b/>
                <w:bCs/>
              </w:rPr>
              <w:t>OM-54/2024</w:t>
            </w:r>
            <w:r>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Default="00000000">
            <w:pPr>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09A4FEAA" w14:textId="09D74002" w:rsidR="002E7E05" w:rsidRDefault="00000000">
            <w:pPr>
              <w:ind w:right="-105"/>
              <w:rPr>
                <w:rFonts w:ascii="Arial" w:eastAsia="Arial" w:hAnsi="Arial" w:cs="Arial"/>
                <w:color w:val="000000"/>
              </w:rPr>
            </w:pPr>
            <w:r w:rsidRPr="006E705D">
              <w:rPr>
                <w:rFonts w:ascii="Arial" w:eastAsia="Arial" w:hAnsi="Arial" w:cs="Arial"/>
                <w:b/>
                <w:color w:val="000000"/>
              </w:rPr>
              <w:t>$</w:t>
            </w:r>
            <w:r w:rsidR="006E705D" w:rsidRPr="006E705D">
              <w:rPr>
                <w:rFonts w:ascii="Arial" w:eastAsia="Arial" w:hAnsi="Arial" w:cs="Arial"/>
                <w:b/>
                <w:color w:val="000000"/>
              </w:rPr>
              <w:t>8,815</w:t>
            </w:r>
            <w:r w:rsidRPr="006E705D">
              <w:rPr>
                <w:rFonts w:ascii="Arial" w:eastAsia="Arial" w:hAnsi="Arial" w:cs="Arial"/>
                <w:b/>
                <w:color w:val="000000"/>
              </w:rPr>
              <w:t>.00</w:t>
            </w:r>
            <w:r w:rsidRPr="006E705D">
              <w:rPr>
                <w:rFonts w:ascii="Arial" w:eastAsia="Arial" w:hAnsi="Arial" w:cs="Arial"/>
                <w:color w:val="000000"/>
              </w:rPr>
              <w:t xml:space="preserve"> de</w:t>
            </w:r>
            <w:r>
              <w:rPr>
                <w:rFonts w:ascii="Arial" w:eastAsia="Arial" w:hAnsi="Arial" w:cs="Arial"/>
                <w:color w:val="000000"/>
              </w:rPr>
              <w:t xml:space="preserv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000000">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3CDE91A3" w:rsidR="002E7E05" w:rsidRDefault="00000000">
            <w:pPr>
              <w:ind w:right="-105"/>
              <w:rPr>
                <w:rFonts w:ascii="Arial" w:eastAsia="Arial" w:hAnsi="Arial" w:cs="Arial"/>
                <w:color w:val="000000"/>
              </w:rPr>
            </w:pPr>
            <w:r>
              <w:rPr>
                <w:rFonts w:ascii="Arial" w:eastAsia="Arial" w:hAnsi="Arial" w:cs="Arial"/>
                <w:color w:val="000000"/>
              </w:rPr>
              <w:t xml:space="preserve">Viernes </w:t>
            </w:r>
            <w:r w:rsidR="0098710C">
              <w:rPr>
                <w:rFonts w:ascii="Arial" w:eastAsia="Arial" w:hAnsi="Arial" w:cs="Arial"/>
                <w:b/>
                <w:bCs/>
                <w:color w:val="000000"/>
              </w:rPr>
              <w:t>18</w:t>
            </w:r>
            <w:r>
              <w:rPr>
                <w:rFonts w:ascii="Arial" w:eastAsia="Arial" w:hAnsi="Arial" w:cs="Arial"/>
                <w:b/>
                <w:bCs/>
                <w:color w:val="000000"/>
              </w:rPr>
              <w:t xml:space="preserve"> de </w:t>
            </w:r>
            <w:r w:rsidR="0098710C">
              <w:rPr>
                <w:rFonts w:ascii="Arial" w:eastAsia="Arial" w:hAnsi="Arial" w:cs="Arial"/>
                <w:b/>
                <w:bCs/>
                <w:color w:val="000000"/>
              </w:rPr>
              <w:t xml:space="preserve">octubre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000000">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6472193B" w:rsidR="002E7E05" w:rsidRDefault="00000000">
            <w:pPr>
              <w:ind w:right="-105"/>
              <w:rPr>
                <w:rFonts w:ascii="Arial" w:eastAsia="Arial" w:hAnsi="Arial" w:cs="Arial"/>
                <w:color w:val="000000"/>
              </w:rPr>
            </w:pPr>
            <w:r>
              <w:rPr>
                <w:rFonts w:ascii="Arial" w:eastAsia="Arial" w:hAnsi="Arial" w:cs="Arial"/>
                <w:color w:val="000000"/>
              </w:rPr>
              <w:t xml:space="preserve">Viernes </w:t>
            </w:r>
            <w:r w:rsidR="0098710C">
              <w:rPr>
                <w:rFonts w:ascii="Arial" w:eastAsia="Arial" w:hAnsi="Arial" w:cs="Arial"/>
                <w:b/>
                <w:bCs/>
                <w:color w:val="000000"/>
              </w:rPr>
              <w:t>18</w:t>
            </w:r>
            <w:r>
              <w:rPr>
                <w:rFonts w:ascii="Arial" w:eastAsia="Arial" w:hAnsi="Arial" w:cs="Arial"/>
                <w:b/>
                <w:bCs/>
                <w:color w:val="000000"/>
              </w:rPr>
              <w:t xml:space="preserve"> de</w:t>
            </w:r>
            <w:r>
              <w:rPr>
                <w:rFonts w:ascii="Arial" w:eastAsia="Arial" w:hAnsi="Arial" w:cs="Arial"/>
                <w:b/>
                <w:color w:val="000000"/>
              </w:rPr>
              <w:t xml:space="preserve"> </w:t>
            </w:r>
            <w:r w:rsidR="0098710C">
              <w:rPr>
                <w:rFonts w:ascii="Arial" w:eastAsia="Arial" w:hAnsi="Arial" w:cs="Arial"/>
                <w:b/>
                <w:color w:val="000000"/>
              </w:rPr>
              <w:t xml:space="preserve">octubre </w:t>
            </w:r>
            <w:r>
              <w:rPr>
                <w:rFonts w:ascii="Arial" w:eastAsia="Arial" w:hAnsi="Arial" w:cs="Arial"/>
                <w:b/>
                <w:color w:val="000000"/>
              </w:rPr>
              <w:t>del 2024</w:t>
            </w:r>
          </w:p>
        </w:tc>
      </w:tr>
      <w:tr w:rsidR="002E7E05" w14:paraId="42AFABCB" w14:textId="77777777">
        <w:trPr>
          <w:trHeight w:val="834"/>
        </w:trPr>
        <w:tc>
          <w:tcPr>
            <w:tcW w:w="4819" w:type="dxa"/>
            <w:shd w:val="clear" w:color="auto" w:fill="auto"/>
          </w:tcPr>
          <w:p w14:paraId="331AC067" w14:textId="77777777" w:rsidR="002E7E05" w:rsidRDefault="00000000">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5353B686" w:rsidR="002E7E05" w:rsidRDefault="00000000">
            <w:pPr>
              <w:ind w:right="-105"/>
              <w:rPr>
                <w:rFonts w:ascii="Arial" w:eastAsia="Arial" w:hAnsi="Arial" w:cs="Arial"/>
                <w:b/>
                <w:color w:val="000000"/>
              </w:rPr>
            </w:pPr>
            <w:r>
              <w:rPr>
                <w:rFonts w:ascii="Arial" w:eastAsia="Arial" w:hAnsi="Arial" w:cs="Arial"/>
                <w:color w:val="000000"/>
              </w:rPr>
              <w:t xml:space="preserve">Hasta el </w:t>
            </w:r>
            <w:r w:rsidR="0098710C">
              <w:rPr>
                <w:rFonts w:ascii="Arial" w:eastAsia="Arial" w:hAnsi="Arial" w:cs="Arial"/>
                <w:color w:val="000000"/>
              </w:rPr>
              <w:t xml:space="preserve">lunes </w:t>
            </w:r>
            <w:r w:rsidR="0098710C">
              <w:rPr>
                <w:rFonts w:ascii="Arial" w:eastAsia="Arial" w:hAnsi="Arial" w:cs="Arial"/>
                <w:b/>
                <w:bCs/>
                <w:color w:val="000000"/>
              </w:rPr>
              <w:t>21</w:t>
            </w:r>
            <w:r>
              <w:rPr>
                <w:rFonts w:ascii="Arial" w:eastAsia="Arial" w:hAnsi="Arial" w:cs="Arial"/>
                <w:b/>
                <w:bCs/>
                <w:color w:val="000000"/>
              </w:rPr>
              <w:t xml:space="preserve"> d</w:t>
            </w:r>
            <w:r>
              <w:rPr>
                <w:rFonts w:ascii="Arial" w:eastAsia="Arial" w:hAnsi="Arial" w:cs="Arial"/>
                <w:b/>
                <w:color w:val="000000"/>
              </w:rPr>
              <w:t xml:space="preserve">e </w:t>
            </w:r>
            <w:r w:rsidR="0098710C">
              <w:rPr>
                <w:rFonts w:ascii="Arial" w:eastAsia="Arial" w:hAnsi="Arial" w:cs="Arial"/>
                <w:b/>
                <w:color w:val="000000"/>
              </w:rPr>
              <w:t xml:space="preserve">octubre </w:t>
            </w:r>
            <w:r>
              <w:rPr>
                <w:rFonts w:ascii="Arial" w:eastAsia="Arial" w:hAnsi="Arial" w:cs="Arial"/>
                <w:b/>
                <w:color w:val="000000"/>
              </w:rPr>
              <w:t xml:space="preserve">del 2024 </w:t>
            </w:r>
            <w:r>
              <w:rPr>
                <w:rFonts w:ascii="Arial" w:eastAsia="Arial" w:hAnsi="Arial" w:cs="Arial"/>
                <w:color w:val="000000"/>
              </w:rPr>
              <w:t>a las 1</w:t>
            </w:r>
            <w:r w:rsidR="0098710C">
              <w:rPr>
                <w:rFonts w:ascii="Arial" w:eastAsia="Arial" w:hAnsi="Arial" w:cs="Arial"/>
                <w:color w:val="000000"/>
              </w:rPr>
              <w:t>0</w:t>
            </w:r>
            <w:r>
              <w:rPr>
                <w:rFonts w:ascii="Arial" w:eastAsia="Arial" w:hAnsi="Arial" w:cs="Arial"/>
                <w:color w:val="000000"/>
              </w:rPr>
              <w:t xml:space="preserve">:00 horas, correo: </w:t>
            </w:r>
            <w:hyperlink r:id="rId10">
              <w:r w:rsidR="002E7E05">
                <w:rPr>
                  <w:rFonts w:ascii="Arial" w:eastAsia="Arial" w:hAnsi="Arial" w:cs="Arial"/>
                  <w:color w:val="0000FF"/>
                  <w:u w:val="single"/>
                </w:rPr>
                <w:t>licitaciones@tlajomulco.gob.mx</w:t>
              </w:r>
            </w:hyperlink>
          </w:p>
        </w:tc>
      </w:tr>
      <w:tr w:rsidR="002E7E05" w14:paraId="3B29BB5D" w14:textId="77777777">
        <w:trPr>
          <w:trHeight w:val="557"/>
        </w:trPr>
        <w:tc>
          <w:tcPr>
            <w:tcW w:w="4819" w:type="dxa"/>
            <w:shd w:val="clear" w:color="auto" w:fill="auto"/>
          </w:tcPr>
          <w:p w14:paraId="685E5D3D" w14:textId="77777777" w:rsidR="002E7E05" w:rsidRDefault="00000000">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2C55D7E2" w:rsidR="002E7E05" w:rsidRDefault="0098710C">
            <w:pPr>
              <w:ind w:right="-105"/>
              <w:rPr>
                <w:rFonts w:ascii="Arial" w:eastAsia="Arial" w:hAnsi="Arial" w:cs="Arial"/>
                <w:color w:val="000000"/>
              </w:rPr>
            </w:pPr>
            <w:r>
              <w:rPr>
                <w:rFonts w:ascii="Arial" w:eastAsia="Arial" w:hAnsi="Arial" w:cs="Arial"/>
              </w:rPr>
              <w:t xml:space="preserve">Lunes </w:t>
            </w:r>
            <w:r>
              <w:rPr>
                <w:rFonts w:ascii="Arial" w:eastAsia="Arial" w:hAnsi="Arial" w:cs="Arial"/>
                <w:b/>
                <w:bCs/>
              </w:rPr>
              <w:t xml:space="preserve">21 de octubre </w:t>
            </w:r>
            <w:r>
              <w:rPr>
                <w:rFonts w:ascii="Arial" w:eastAsia="Arial" w:hAnsi="Arial" w:cs="Arial"/>
                <w:b/>
              </w:rPr>
              <w:t xml:space="preserve">del 2024 </w:t>
            </w:r>
            <w:r>
              <w:rPr>
                <w:rFonts w:ascii="Arial" w:eastAsia="Arial" w:hAnsi="Arial" w:cs="Arial"/>
                <w:b/>
                <w:color w:val="000000"/>
              </w:rPr>
              <w:t>a las 16:00</w:t>
            </w:r>
            <w:r>
              <w:rPr>
                <w:rFonts w:ascii="Arial" w:eastAsia="Arial" w:hAnsi="Arial" w:cs="Arial"/>
                <w:color w:val="000000"/>
              </w:rPr>
              <w:t xml:space="preserve"> horas, en la Dirección de Recursos Materiales, primer piso del Centro Administrativo (CAT), ubicado en la calle de Higuera número #70, </w:t>
            </w:r>
            <w:r>
              <w:rPr>
                <w:rFonts w:ascii="Arial" w:eastAsia="Arial" w:hAnsi="Arial" w:cs="Arial"/>
                <w:color w:val="000000"/>
              </w:rPr>
              <w:lastRenderedPageBreak/>
              <w:t>Colonia Centro, Tlajomulco de Zúñiga, Jalisco, México.</w:t>
            </w:r>
          </w:p>
        </w:tc>
      </w:tr>
      <w:tr w:rsidR="002E7E05" w14:paraId="0B6B9F0B" w14:textId="77777777">
        <w:trPr>
          <w:trHeight w:val="1157"/>
        </w:trPr>
        <w:tc>
          <w:tcPr>
            <w:tcW w:w="4819" w:type="dxa"/>
            <w:shd w:val="clear" w:color="auto" w:fill="auto"/>
          </w:tcPr>
          <w:p w14:paraId="4B05AEA9" w14:textId="77777777" w:rsidR="002E7E05" w:rsidRDefault="00000000">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16F3CCA0" w:rsidR="002E7E05" w:rsidRDefault="00000000">
            <w:pPr>
              <w:ind w:right="-105"/>
              <w:rPr>
                <w:rFonts w:ascii="Arial" w:eastAsia="Arial" w:hAnsi="Arial" w:cs="Arial"/>
              </w:rPr>
            </w:pPr>
            <w:r>
              <w:rPr>
                <w:rFonts w:ascii="Arial" w:eastAsia="Arial" w:hAnsi="Arial" w:cs="Arial"/>
                <w:color w:val="000000"/>
              </w:rPr>
              <w:t xml:space="preserve">La presentación de proposiciones iniciará el Viernes </w:t>
            </w:r>
            <w:r w:rsidR="0098710C">
              <w:rPr>
                <w:rFonts w:ascii="Arial" w:eastAsia="Arial" w:hAnsi="Arial" w:cs="Arial"/>
                <w:b/>
                <w:bCs/>
                <w:color w:val="000000"/>
              </w:rPr>
              <w:t>25</w:t>
            </w:r>
            <w:r>
              <w:rPr>
                <w:rFonts w:ascii="Arial" w:eastAsia="Arial" w:hAnsi="Arial" w:cs="Arial"/>
                <w:b/>
                <w:color w:val="000000"/>
              </w:rPr>
              <w:t xml:space="preserve"> de </w:t>
            </w:r>
            <w:r w:rsidR="0098710C">
              <w:rPr>
                <w:rFonts w:ascii="Arial" w:eastAsia="Arial" w:hAnsi="Arial" w:cs="Arial"/>
                <w:b/>
                <w:color w:val="000000"/>
              </w:rPr>
              <w:t xml:space="preserve">octubre </w:t>
            </w:r>
            <w:r>
              <w:rPr>
                <w:rFonts w:ascii="Arial" w:eastAsia="Arial" w:hAnsi="Arial" w:cs="Arial"/>
                <w:b/>
                <w:color w:val="000000"/>
              </w:rPr>
              <w:t>2024 a las 8:10 y concluirá a las 8:</w:t>
            </w:r>
            <w:r w:rsidR="0098710C">
              <w:rPr>
                <w:rFonts w:ascii="Arial" w:eastAsia="Arial" w:hAnsi="Arial" w:cs="Arial"/>
                <w:b/>
                <w:color w:val="000000"/>
              </w:rPr>
              <w:t>4</w:t>
            </w:r>
            <w:r>
              <w:rPr>
                <w:rFonts w:ascii="Arial" w:eastAsia="Arial" w:hAnsi="Arial" w:cs="Arial"/>
                <w:b/>
                <w:color w:val="000000"/>
              </w:rPr>
              <w:t xml:space="preserve">0 horas </w:t>
            </w:r>
            <w:r>
              <w:rPr>
                <w:rFonts w:ascii="Arial" w:eastAsia="Arial" w:hAnsi="Arial" w:cs="Arial"/>
                <w:color w:val="000000"/>
              </w:rPr>
              <w:t xml:space="preserve">en el inmueble ubicado en el </w:t>
            </w:r>
            <w:r>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E7E05" w14:paraId="04DC9E94" w14:textId="77777777">
        <w:trPr>
          <w:trHeight w:val="1157"/>
        </w:trPr>
        <w:tc>
          <w:tcPr>
            <w:tcW w:w="4819" w:type="dxa"/>
            <w:shd w:val="clear" w:color="auto" w:fill="auto"/>
          </w:tcPr>
          <w:p w14:paraId="3AC12BC2" w14:textId="77777777" w:rsidR="002E7E05" w:rsidRDefault="00000000">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69F8AAF2" w:rsidR="002E7E05" w:rsidRDefault="00000000">
            <w:pPr>
              <w:ind w:right="-105"/>
              <w:rPr>
                <w:rFonts w:ascii="Arial" w:eastAsia="Arial" w:hAnsi="Arial" w:cs="Arial"/>
              </w:rPr>
            </w:pPr>
            <w:r>
              <w:rPr>
                <w:rFonts w:ascii="Arial" w:eastAsia="Arial" w:hAnsi="Arial" w:cs="Arial"/>
                <w:color w:val="000000"/>
              </w:rPr>
              <w:t xml:space="preserve">La apertura de proposiciones iniciará el viernes </w:t>
            </w:r>
            <w:r w:rsidR="0098710C">
              <w:rPr>
                <w:rFonts w:ascii="Arial" w:eastAsia="Arial" w:hAnsi="Arial" w:cs="Arial"/>
                <w:b/>
                <w:bCs/>
                <w:color w:val="000000"/>
              </w:rPr>
              <w:t>25</w:t>
            </w:r>
            <w:r>
              <w:rPr>
                <w:rFonts w:ascii="Arial" w:eastAsia="Arial" w:hAnsi="Arial" w:cs="Arial"/>
                <w:b/>
                <w:bCs/>
              </w:rPr>
              <w:t xml:space="preserve"> </w:t>
            </w:r>
            <w:r>
              <w:rPr>
                <w:rFonts w:ascii="Arial" w:eastAsia="Arial" w:hAnsi="Arial" w:cs="Arial"/>
                <w:b/>
                <w:color w:val="000000"/>
              </w:rPr>
              <w:t xml:space="preserve">de </w:t>
            </w:r>
            <w:r w:rsidR="0098710C">
              <w:rPr>
                <w:rFonts w:ascii="Arial" w:eastAsia="Arial" w:hAnsi="Arial" w:cs="Arial"/>
                <w:b/>
                <w:color w:val="000000"/>
              </w:rPr>
              <w:t xml:space="preserve">octubre </w:t>
            </w:r>
            <w:r>
              <w:rPr>
                <w:rFonts w:ascii="Arial" w:eastAsia="Arial" w:hAnsi="Arial" w:cs="Arial"/>
                <w:b/>
                <w:color w:val="000000"/>
              </w:rPr>
              <w:t>2024 a las 8:</w:t>
            </w:r>
            <w:r w:rsidR="0098710C">
              <w:rPr>
                <w:rFonts w:ascii="Arial" w:eastAsia="Arial" w:hAnsi="Arial" w:cs="Arial"/>
                <w:b/>
                <w:color w:val="000000"/>
              </w:rPr>
              <w:t>4</w:t>
            </w:r>
            <w:r>
              <w:rPr>
                <w:rFonts w:ascii="Arial" w:eastAsia="Arial" w:hAnsi="Arial" w:cs="Arial"/>
                <w:b/>
                <w:color w:val="000000"/>
              </w:rPr>
              <w:t xml:space="preserve">5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2E7E05" w14:paraId="57C77DF0" w14:textId="77777777">
        <w:tc>
          <w:tcPr>
            <w:tcW w:w="4819" w:type="dxa"/>
            <w:shd w:val="clear" w:color="auto" w:fill="auto"/>
          </w:tcPr>
          <w:p w14:paraId="1EBC3B55" w14:textId="77777777" w:rsidR="002E7E05" w:rsidRDefault="00000000">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2E7E05" w:rsidRDefault="00000000">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2E7E05" w14:paraId="489BE347" w14:textId="77777777">
        <w:tc>
          <w:tcPr>
            <w:tcW w:w="4819" w:type="dxa"/>
            <w:shd w:val="clear" w:color="auto" w:fill="auto"/>
          </w:tcPr>
          <w:p w14:paraId="1B373F93" w14:textId="77777777" w:rsidR="002E7E05" w:rsidRDefault="00000000">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2E7E05" w:rsidRDefault="00000000">
            <w:pPr>
              <w:ind w:right="622"/>
              <w:rPr>
                <w:rFonts w:ascii="Arial" w:eastAsia="Arial" w:hAnsi="Arial" w:cs="Arial"/>
              </w:rPr>
            </w:pPr>
            <w:r>
              <w:rPr>
                <w:rFonts w:ascii="Arial" w:eastAsia="Arial" w:hAnsi="Arial" w:cs="Arial"/>
              </w:rPr>
              <w:t xml:space="preserve">Municipal </w:t>
            </w:r>
          </w:p>
        </w:tc>
      </w:tr>
      <w:tr w:rsidR="002E7E05" w14:paraId="436B2890" w14:textId="77777777">
        <w:tc>
          <w:tcPr>
            <w:tcW w:w="4819" w:type="dxa"/>
            <w:shd w:val="clear" w:color="auto" w:fill="auto"/>
          </w:tcPr>
          <w:p w14:paraId="1F6B04BE" w14:textId="77777777" w:rsidR="002E7E05" w:rsidRDefault="00000000">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085B1C6" w:rsidR="002E7E05" w:rsidRDefault="00AC3906">
            <w:pPr>
              <w:ind w:right="622"/>
              <w:rPr>
                <w:rFonts w:ascii="Arial" w:eastAsia="Arial" w:hAnsi="Arial" w:cs="Arial"/>
                <w:b/>
              </w:rPr>
            </w:pPr>
            <w:r>
              <w:rPr>
                <w:rFonts w:ascii="Arial" w:eastAsia="Arial" w:hAnsi="Arial" w:cs="Arial"/>
                <w:bCs/>
              </w:rPr>
              <w:t>Local</w:t>
            </w:r>
          </w:p>
        </w:tc>
      </w:tr>
      <w:tr w:rsidR="002E7E05" w14:paraId="350597DE" w14:textId="77777777">
        <w:tc>
          <w:tcPr>
            <w:tcW w:w="4819" w:type="dxa"/>
            <w:shd w:val="clear" w:color="auto" w:fill="auto"/>
          </w:tcPr>
          <w:p w14:paraId="00FFEE5D" w14:textId="77777777" w:rsidR="002E7E05" w:rsidRDefault="00000000">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2E7E05" w:rsidRDefault="00000000">
            <w:pPr>
              <w:ind w:right="622"/>
              <w:rPr>
                <w:rFonts w:ascii="Arial" w:eastAsia="Arial" w:hAnsi="Arial" w:cs="Arial"/>
              </w:rPr>
            </w:pPr>
            <w:r>
              <w:rPr>
                <w:rFonts w:ascii="Arial" w:eastAsia="Arial" w:hAnsi="Arial" w:cs="Arial"/>
              </w:rPr>
              <w:t>Español</w:t>
            </w:r>
          </w:p>
        </w:tc>
      </w:tr>
      <w:tr w:rsidR="002E7E05" w14:paraId="53B069E4" w14:textId="77777777">
        <w:tc>
          <w:tcPr>
            <w:tcW w:w="4819" w:type="dxa"/>
            <w:shd w:val="clear" w:color="auto" w:fill="auto"/>
          </w:tcPr>
          <w:p w14:paraId="329FF8E4" w14:textId="77777777" w:rsidR="002E7E05" w:rsidRDefault="00000000">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36E3B988" w:rsidR="002E7E05" w:rsidRDefault="00AF4C8F">
            <w:pPr>
              <w:ind w:right="622"/>
              <w:rPr>
                <w:rFonts w:ascii="Arial" w:eastAsia="Arial" w:hAnsi="Arial" w:cs="Arial"/>
                <w:b/>
              </w:rPr>
            </w:pPr>
            <w:r>
              <w:rPr>
                <w:rFonts w:ascii="Arial" w:eastAsia="Arial" w:hAnsi="Arial" w:cs="Arial"/>
                <w:b/>
              </w:rPr>
              <w:t xml:space="preserve">Multianual. </w:t>
            </w:r>
          </w:p>
        </w:tc>
      </w:tr>
      <w:tr w:rsidR="002E7E05" w14:paraId="4371A27A" w14:textId="77777777">
        <w:tc>
          <w:tcPr>
            <w:tcW w:w="4819" w:type="dxa"/>
            <w:shd w:val="clear" w:color="auto" w:fill="auto"/>
          </w:tcPr>
          <w:p w14:paraId="31DB416C" w14:textId="77777777" w:rsidR="002E7E05" w:rsidRDefault="00000000">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2E7E05" w:rsidRDefault="00000000">
            <w:pPr>
              <w:ind w:right="622"/>
              <w:rPr>
                <w:rFonts w:ascii="Arial" w:eastAsia="Arial" w:hAnsi="Arial" w:cs="Arial"/>
              </w:rPr>
            </w:pPr>
            <w:r>
              <w:rPr>
                <w:rFonts w:ascii="Arial" w:eastAsia="Arial" w:hAnsi="Arial" w:cs="Arial"/>
              </w:rPr>
              <w:t>SI</w:t>
            </w:r>
          </w:p>
        </w:tc>
      </w:tr>
      <w:tr w:rsidR="002E7E05" w14:paraId="5BB5F5A7" w14:textId="77777777">
        <w:tc>
          <w:tcPr>
            <w:tcW w:w="4819" w:type="dxa"/>
            <w:shd w:val="clear" w:color="auto" w:fill="auto"/>
          </w:tcPr>
          <w:p w14:paraId="7972F437" w14:textId="77777777" w:rsidR="002E7E05" w:rsidRDefault="00000000">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5395D193" w:rsidR="002E7E05" w:rsidRDefault="00000000">
            <w:pPr>
              <w:ind w:right="-105"/>
              <w:rPr>
                <w:rFonts w:ascii="Arial" w:eastAsia="Arial" w:hAnsi="Arial" w:cs="Arial"/>
                <w:b/>
              </w:rPr>
            </w:pPr>
            <w:r>
              <w:rPr>
                <w:rFonts w:ascii="Arial" w:eastAsia="Arial" w:hAnsi="Arial" w:cs="Arial"/>
                <w:b/>
              </w:rPr>
              <w:t xml:space="preserve">Contrato o pedido (Orden de Compra) </w:t>
            </w:r>
            <w:r w:rsidR="00263EEE">
              <w:rPr>
                <w:rFonts w:ascii="Arial" w:eastAsia="Arial" w:hAnsi="Arial" w:cs="Arial"/>
                <w:b/>
              </w:rPr>
              <w:t>abierto</w:t>
            </w:r>
            <w:r>
              <w:rPr>
                <w:rFonts w:ascii="Arial" w:eastAsia="Arial" w:hAnsi="Arial" w:cs="Arial"/>
                <w:b/>
              </w:rPr>
              <w:t>.</w:t>
            </w:r>
          </w:p>
        </w:tc>
      </w:tr>
      <w:tr w:rsidR="002E7E05" w14:paraId="1083CEF5" w14:textId="77777777">
        <w:tc>
          <w:tcPr>
            <w:tcW w:w="4819" w:type="dxa"/>
            <w:shd w:val="clear" w:color="auto" w:fill="auto"/>
          </w:tcPr>
          <w:p w14:paraId="6E9DFAE8" w14:textId="77777777" w:rsidR="002E7E05" w:rsidRDefault="00000000">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2E7E05" w:rsidRDefault="00000000">
            <w:pPr>
              <w:ind w:right="-105"/>
              <w:rPr>
                <w:rFonts w:ascii="Arial" w:eastAsia="Arial" w:hAnsi="Arial" w:cs="Arial"/>
              </w:rPr>
            </w:pPr>
            <w:r>
              <w:rPr>
                <w:rFonts w:ascii="Arial" w:eastAsia="Arial" w:hAnsi="Arial" w:cs="Arial"/>
              </w:rPr>
              <w:t>SI</w:t>
            </w:r>
          </w:p>
        </w:tc>
      </w:tr>
      <w:tr w:rsidR="002E7E05" w14:paraId="62341BD7" w14:textId="77777777">
        <w:tc>
          <w:tcPr>
            <w:tcW w:w="4819" w:type="dxa"/>
            <w:shd w:val="clear" w:color="auto" w:fill="auto"/>
          </w:tcPr>
          <w:p w14:paraId="2BA747C0" w14:textId="77777777" w:rsidR="002E7E05" w:rsidRDefault="00000000">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ADE8" w:rsidR="002E7E05" w:rsidRDefault="00000000">
            <w:pPr>
              <w:ind w:right="-105"/>
              <w:rPr>
                <w:rFonts w:ascii="Arial" w:eastAsia="Arial" w:hAnsi="Arial" w:cs="Arial"/>
                <w:b/>
              </w:rPr>
            </w:pPr>
            <w:r>
              <w:rPr>
                <w:rFonts w:ascii="Arial" w:eastAsia="Arial" w:hAnsi="Arial" w:cs="Arial"/>
                <w:b/>
              </w:rPr>
              <w:t xml:space="preserve">Se </w:t>
            </w:r>
            <w:r w:rsidR="00AF4C8F">
              <w:rPr>
                <w:rFonts w:ascii="Arial" w:eastAsia="Arial" w:hAnsi="Arial" w:cs="Arial"/>
                <w:b/>
              </w:rPr>
              <w:t>adjudicará</w:t>
            </w:r>
            <w:r>
              <w:rPr>
                <w:rFonts w:ascii="Arial" w:eastAsia="Arial" w:hAnsi="Arial" w:cs="Arial"/>
                <w:b/>
              </w:rPr>
              <w:t xml:space="preserve"> a </w:t>
            </w:r>
            <w:r w:rsidR="009E48E9">
              <w:rPr>
                <w:rFonts w:ascii="Arial" w:eastAsia="Arial" w:hAnsi="Arial" w:cs="Arial"/>
                <w:b/>
              </w:rPr>
              <w:t xml:space="preserve">un solo </w:t>
            </w:r>
            <w:r>
              <w:rPr>
                <w:rFonts w:ascii="Arial" w:eastAsia="Arial" w:hAnsi="Arial" w:cs="Arial"/>
                <w:b/>
              </w:rPr>
              <w:t>licitante.</w:t>
            </w:r>
          </w:p>
        </w:tc>
      </w:tr>
      <w:tr w:rsidR="002E7E05" w14:paraId="17E654CE" w14:textId="77777777">
        <w:trPr>
          <w:trHeight w:val="487"/>
        </w:trPr>
        <w:tc>
          <w:tcPr>
            <w:tcW w:w="4819" w:type="dxa"/>
            <w:shd w:val="clear" w:color="auto" w:fill="auto"/>
          </w:tcPr>
          <w:p w14:paraId="041CF9AD" w14:textId="77777777" w:rsidR="002E7E05" w:rsidRDefault="00000000">
            <w:pPr>
              <w:rPr>
                <w:rFonts w:ascii="Arial" w:eastAsia="Arial" w:hAnsi="Arial" w:cs="Arial"/>
              </w:rPr>
            </w:pPr>
            <w:r>
              <w:rPr>
                <w:rFonts w:ascii="Arial" w:eastAsia="Arial" w:hAnsi="Arial" w:cs="Arial"/>
                <w:color w:val="000000"/>
              </w:rPr>
              <w:lastRenderedPageBreak/>
              <w:t>Área requirente de los Bienes o Servicios.</w:t>
            </w:r>
          </w:p>
        </w:tc>
        <w:tc>
          <w:tcPr>
            <w:tcW w:w="4679" w:type="dxa"/>
            <w:shd w:val="clear" w:color="auto" w:fill="auto"/>
          </w:tcPr>
          <w:p w14:paraId="66A30AE8" w14:textId="21FF65DC" w:rsidR="002E7E05" w:rsidRDefault="009E48E9">
            <w:pPr>
              <w:ind w:right="-105"/>
              <w:rPr>
                <w:rFonts w:ascii="Arial" w:eastAsia="Arial" w:hAnsi="Arial" w:cs="Arial"/>
                <w:b/>
              </w:rPr>
            </w:pPr>
            <w:r>
              <w:rPr>
                <w:rFonts w:ascii="Arial" w:eastAsia="Arial" w:hAnsi="Arial" w:cs="Arial"/>
                <w:b/>
                <w:bCs/>
                <w:color w:val="000000"/>
              </w:rPr>
              <w:t xml:space="preserve">Construcción de Comunidad </w:t>
            </w:r>
          </w:p>
        </w:tc>
      </w:tr>
      <w:tr w:rsidR="002E7E05" w14:paraId="0B982C3F" w14:textId="77777777">
        <w:tc>
          <w:tcPr>
            <w:tcW w:w="4819" w:type="dxa"/>
            <w:shd w:val="clear" w:color="auto" w:fill="auto"/>
          </w:tcPr>
          <w:p w14:paraId="7A50133D" w14:textId="77777777" w:rsidR="002E7E05" w:rsidRDefault="00000000">
            <w:pPr>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679" w:type="dxa"/>
            <w:shd w:val="clear" w:color="auto" w:fill="auto"/>
          </w:tcPr>
          <w:p w14:paraId="6CFEF209" w14:textId="4F1D9A2F" w:rsidR="002E7E05" w:rsidRPr="00BB308F" w:rsidRDefault="00BB308F">
            <w:pPr>
              <w:ind w:right="-105"/>
              <w:rPr>
                <w:rFonts w:ascii="Arial" w:hAnsi="Arial" w:cs="Arial"/>
                <w:b/>
                <w:lang w:eastAsia="es-ES"/>
              </w:rPr>
            </w:pPr>
            <w:r>
              <w:rPr>
                <w:rFonts w:ascii="Arial" w:hAnsi="Arial" w:cs="Arial"/>
                <w:b/>
                <w:lang w:eastAsia="es-ES"/>
              </w:rPr>
              <w:t>3251</w:t>
            </w:r>
          </w:p>
        </w:tc>
      </w:tr>
      <w:tr w:rsidR="002E7E05" w14:paraId="3D755FFF" w14:textId="77777777">
        <w:tc>
          <w:tcPr>
            <w:tcW w:w="4819" w:type="dxa"/>
            <w:shd w:val="clear" w:color="auto" w:fill="auto"/>
          </w:tcPr>
          <w:p w14:paraId="67E632CB" w14:textId="77777777" w:rsidR="002E7E05" w:rsidRDefault="00000000">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2E7E05" w:rsidRDefault="00000000">
            <w:pPr>
              <w:ind w:right="-105"/>
              <w:rPr>
                <w:rFonts w:ascii="Arial" w:eastAsia="Arial" w:hAnsi="Arial" w:cs="Arial"/>
              </w:rPr>
            </w:pPr>
            <w:r>
              <w:rPr>
                <w:rFonts w:ascii="Arial" w:eastAsia="Arial" w:hAnsi="Arial" w:cs="Arial"/>
              </w:rPr>
              <w:t>NO</w:t>
            </w:r>
          </w:p>
        </w:tc>
      </w:tr>
      <w:tr w:rsidR="002E7E05" w14:paraId="3BA68216" w14:textId="77777777">
        <w:tc>
          <w:tcPr>
            <w:tcW w:w="4819" w:type="dxa"/>
            <w:shd w:val="clear" w:color="auto" w:fill="auto"/>
          </w:tcPr>
          <w:p w14:paraId="5AF0974C" w14:textId="77777777" w:rsidR="002E7E05" w:rsidRDefault="00000000">
            <w:pPr>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5AE91A65" w14:textId="77777777" w:rsidR="002E7E05" w:rsidRDefault="00000000">
            <w:pPr>
              <w:ind w:right="-105"/>
              <w:rPr>
                <w:rFonts w:ascii="Arial" w:eastAsia="Arial" w:hAnsi="Arial" w:cs="Arial"/>
              </w:rPr>
            </w:pPr>
            <w:r>
              <w:rPr>
                <w:rFonts w:ascii="Arial" w:eastAsia="Arial" w:hAnsi="Arial" w:cs="Arial"/>
              </w:rPr>
              <w:t>Binario</w:t>
            </w:r>
          </w:p>
        </w:tc>
      </w:tr>
      <w:tr w:rsidR="002E7E05" w14:paraId="5DAD6954" w14:textId="77777777">
        <w:tc>
          <w:tcPr>
            <w:tcW w:w="4819" w:type="dxa"/>
            <w:shd w:val="clear" w:color="auto" w:fill="auto"/>
          </w:tcPr>
          <w:p w14:paraId="7DD96752" w14:textId="3A45A31A" w:rsidR="002E7E05" w:rsidRDefault="00AC3906">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2E7E05" w:rsidRDefault="00AC3906">
            <w:pPr>
              <w:ind w:right="-105"/>
              <w:rPr>
                <w:rFonts w:ascii="Arial" w:eastAsia="Arial" w:hAnsi="Arial" w:cs="Arial"/>
              </w:rPr>
            </w:pPr>
            <w:r>
              <w:rPr>
                <w:rFonts w:ascii="Arial" w:eastAsia="Arial" w:hAnsi="Arial" w:cs="Arial"/>
              </w:rPr>
              <w:t>Se señalan en el Anexo 1</w:t>
            </w:r>
          </w:p>
        </w:tc>
      </w:tr>
      <w:tr w:rsidR="002E7E05" w14:paraId="71944323" w14:textId="77777777">
        <w:tc>
          <w:tcPr>
            <w:tcW w:w="4819" w:type="dxa"/>
            <w:shd w:val="clear" w:color="auto" w:fill="auto"/>
          </w:tcPr>
          <w:p w14:paraId="60AE96C7" w14:textId="77777777" w:rsidR="002E7E05" w:rsidRDefault="00000000">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2E7E05" w:rsidRDefault="002E7E05">
            <w:pPr>
              <w:rPr>
                <w:rFonts w:ascii="Arial" w:eastAsia="Arial" w:hAnsi="Arial" w:cs="Arial"/>
              </w:rPr>
            </w:pPr>
          </w:p>
          <w:p w14:paraId="2C6D14AF" w14:textId="77BC69E7" w:rsidR="00AC3906" w:rsidRDefault="00AC3906">
            <w:pPr>
              <w:rPr>
                <w:rFonts w:ascii="Arial" w:eastAsia="Arial" w:hAnsi="Arial" w:cs="Arial"/>
              </w:rPr>
            </w:pPr>
            <w:r>
              <w:rPr>
                <w:rFonts w:ascii="Arial" w:eastAsia="Arial" w:hAnsi="Arial" w:cs="Arial"/>
              </w:rPr>
              <w:t>2.- Cotización</w:t>
            </w:r>
          </w:p>
          <w:p w14:paraId="4BC2B39E" w14:textId="77777777" w:rsidR="00AC3906" w:rsidRDefault="00AC3906">
            <w:pPr>
              <w:rPr>
                <w:rFonts w:ascii="Arial" w:eastAsia="Arial" w:hAnsi="Arial" w:cs="Arial"/>
              </w:rPr>
            </w:pPr>
          </w:p>
          <w:p w14:paraId="084ADC40" w14:textId="7E3A258B" w:rsidR="002E7E05" w:rsidRDefault="00AC3906">
            <w:pPr>
              <w:rPr>
                <w:rFonts w:ascii="Arial" w:eastAsia="Arial" w:hAnsi="Arial" w:cs="Arial"/>
              </w:rPr>
            </w:pPr>
            <w:r>
              <w:rPr>
                <w:rFonts w:ascii="Arial" w:eastAsia="Arial" w:hAnsi="Arial" w:cs="Arial"/>
              </w:rPr>
              <w:t>3.- Acreditación Legal</w:t>
            </w:r>
          </w:p>
          <w:p w14:paraId="3AF0323B" w14:textId="77777777" w:rsidR="002E7E05" w:rsidRDefault="002E7E05">
            <w:pPr>
              <w:rPr>
                <w:rFonts w:ascii="Arial" w:eastAsia="Arial" w:hAnsi="Arial" w:cs="Arial"/>
              </w:rPr>
            </w:pPr>
          </w:p>
          <w:p w14:paraId="2BC3D701" w14:textId="5A1AE661" w:rsidR="002E7E05" w:rsidRDefault="00AC3906">
            <w:pPr>
              <w:rPr>
                <w:rFonts w:ascii="Arial" w:eastAsia="Arial" w:hAnsi="Arial" w:cs="Arial"/>
              </w:rPr>
            </w:pPr>
            <w:r>
              <w:rPr>
                <w:rFonts w:ascii="Arial" w:eastAsia="Arial" w:hAnsi="Arial" w:cs="Arial"/>
              </w:rPr>
              <w:t>4.- Manifestación de NO encontrarse en los supuestos del Art 52 de la Ley</w:t>
            </w:r>
          </w:p>
          <w:p w14:paraId="131C057A" w14:textId="77777777" w:rsidR="002E7E05" w:rsidRDefault="002E7E05">
            <w:pPr>
              <w:rPr>
                <w:rFonts w:ascii="Arial" w:eastAsia="Arial" w:hAnsi="Arial" w:cs="Arial"/>
              </w:rPr>
            </w:pPr>
          </w:p>
          <w:p w14:paraId="4A6388D0" w14:textId="3AD7CFF9" w:rsidR="002E7E05" w:rsidRDefault="00AC3906">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2E7E05" w:rsidRDefault="002E7E05">
            <w:pPr>
              <w:ind w:right="622"/>
              <w:rPr>
                <w:rFonts w:ascii="Arial" w:eastAsia="Arial" w:hAnsi="Arial" w:cs="Arial"/>
              </w:rPr>
            </w:pPr>
          </w:p>
          <w:p w14:paraId="5FE14904" w14:textId="77777777" w:rsidR="002E7E05" w:rsidRDefault="002E7E05">
            <w:pPr>
              <w:ind w:right="622"/>
              <w:rPr>
                <w:rFonts w:ascii="Arial" w:eastAsia="Arial" w:hAnsi="Arial" w:cs="Arial"/>
              </w:rPr>
            </w:pPr>
          </w:p>
          <w:p w14:paraId="60BB1750" w14:textId="77777777" w:rsidR="002E7E05" w:rsidRDefault="002E7E05">
            <w:pPr>
              <w:ind w:right="622"/>
              <w:rPr>
                <w:rFonts w:ascii="Arial" w:eastAsia="Arial" w:hAnsi="Arial" w:cs="Arial"/>
              </w:rPr>
            </w:pPr>
          </w:p>
          <w:p w14:paraId="047A3162" w14:textId="77777777" w:rsidR="002E7E05" w:rsidRDefault="002E7E05">
            <w:pPr>
              <w:ind w:right="622"/>
              <w:rPr>
                <w:rFonts w:ascii="Arial" w:eastAsia="Arial" w:hAnsi="Arial" w:cs="Arial"/>
              </w:rPr>
            </w:pPr>
          </w:p>
          <w:p w14:paraId="63E7E4EC" w14:textId="11F56E4D" w:rsidR="00AC3906" w:rsidRDefault="00AC3906">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AC3906" w:rsidRDefault="00AC3906"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AC3906" w:rsidRDefault="00AC3906"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AC3906" w:rsidRDefault="00AC3906">
            <w:pPr>
              <w:ind w:right="622"/>
              <w:rPr>
                <w:rFonts w:ascii="Arial" w:eastAsia="Arial" w:hAnsi="Arial" w:cs="Arial"/>
              </w:rPr>
            </w:pPr>
          </w:p>
          <w:p w14:paraId="5EC51D7E" w14:textId="77777777" w:rsidR="002E7E05" w:rsidRDefault="00000000">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60288"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2E7E05" w:rsidRDefault="002E7E05">
                            <w:pPr>
                              <w:spacing w:line="240" w:lineRule="auto"/>
                            </w:pPr>
                          </w:p>
                        </w:txbxContent>
                      </v:textbox>
                    </v:rect>
                  </w:pict>
                </mc:Fallback>
              </mc:AlternateContent>
            </w:r>
          </w:p>
          <w:p w14:paraId="4B096103" w14:textId="77777777" w:rsidR="002E7E05" w:rsidRDefault="002E7E05">
            <w:pPr>
              <w:ind w:right="622"/>
              <w:rPr>
                <w:rFonts w:ascii="Arial" w:eastAsia="Arial" w:hAnsi="Arial" w:cs="Arial"/>
              </w:rPr>
            </w:pPr>
          </w:p>
          <w:p w14:paraId="41DB7BB1" w14:textId="77777777"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2E7E05" w:rsidRDefault="002E7E05">
                            <w:pPr>
                              <w:spacing w:line="240" w:lineRule="auto"/>
                            </w:pPr>
                          </w:p>
                        </w:txbxContent>
                      </v:textbox>
                    </v:rect>
                  </w:pict>
                </mc:Fallback>
              </mc:AlternateContent>
            </w:r>
          </w:p>
          <w:p w14:paraId="1C2519B5" w14:textId="77777777" w:rsidR="002E7E05" w:rsidRDefault="002E7E05">
            <w:pPr>
              <w:ind w:right="622"/>
              <w:rPr>
                <w:rFonts w:ascii="Arial" w:eastAsia="Arial" w:hAnsi="Arial" w:cs="Arial"/>
              </w:rPr>
            </w:pPr>
          </w:p>
          <w:p w14:paraId="5657F784" w14:textId="77777777" w:rsidR="002E7E05" w:rsidRDefault="002E7E05">
            <w:pPr>
              <w:ind w:right="622"/>
              <w:rPr>
                <w:rFonts w:ascii="Arial" w:eastAsia="Arial" w:hAnsi="Arial" w:cs="Arial"/>
              </w:rPr>
            </w:pPr>
          </w:p>
          <w:p w14:paraId="00C3C61F" w14:textId="70124CF6"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2336"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2E7E05" w:rsidRDefault="002E7E05">
                            <w:pPr>
                              <w:spacing w:line="240" w:lineRule="auto"/>
                            </w:pPr>
                          </w:p>
                        </w:txbxContent>
                      </v:textbox>
                    </v:rect>
                  </w:pict>
                </mc:Fallback>
              </mc:AlternateContent>
            </w:r>
          </w:p>
        </w:tc>
      </w:tr>
      <w:tr w:rsidR="002E7E05" w14:paraId="7288E7A4" w14:textId="77777777">
        <w:tc>
          <w:tcPr>
            <w:tcW w:w="4819" w:type="dxa"/>
            <w:shd w:val="clear" w:color="auto" w:fill="auto"/>
          </w:tcPr>
          <w:p w14:paraId="5FE0988A" w14:textId="1ACDAA1B" w:rsidR="002E7E05" w:rsidRDefault="00000000">
            <w:pPr>
              <w:rPr>
                <w:rFonts w:ascii="Arial" w:eastAsia="Arial" w:hAnsi="Arial" w:cs="Arial"/>
              </w:rPr>
            </w:pPr>
            <w:r>
              <w:rPr>
                <w:rFonts w:ascii="Arial" w:eastAsia="Arial" w:hAnsi="Arial" w:cs="Arial"/>
              </w:rPr>
              <w:t>Plazo de presentación de propuestas (Art. 6</w:t>
            </w:r>
            <w:r w:rsidR="00317CE8">
              <w:rPr>
                <w:rFonts w:ascii="Arial" w:eastAsia="Arial" w:hAnsi="Arial" w:cs="Arial"/>
              </w:rPr>
              <w:t>1</w:t>
            </w:r>
            <w:r>
              <w:rPr>
                <w:rFonts w:ascii="Arial" w:eastAsia="Arial" w:hAnsi="Arial" w:cs="Arial"/>
              </w:rPr>
              <w:t>, Ley).</w:t>
            </w:r>
          </w:p>
        </w:tc>
        <w:tc>
          <w:tcPr>
            <w:tcW w:w="4679" w:type="dxa"/>
            <w:shd w:val="clear" w:color="auto" w:fill="auto"/>
          </w:tcPr>
          <w:p w14:paraId="4648D10E" w14:textId="14044B8B" w:rsidR="002E7E05" w:rsidRDefault="00000000">
            <w:pPr>
              <w:ind w:right="-105"/>
              <w:rPr>
                <w:rFonts w:ascii="Arial" w:eastAsia="Arial" w:hAnsi="Arial" w:cs="Arial"/>
              </w:rPr>
            </w:pPr>
            <w:r>
              <w:rPr>
                <w:rFonts w:ascii="Arial" w:eastAsia="Arial" w:hAnsi="Arial" w:cs="Arial"/>
              </w:rPr>
              <w:t xml:space="preserve">Normal: </w:t>
            </w:r>
            <w:r w:rsidR="00317CE8">
              <w:rPr>
                <w:rFonts w:ascii="Arial" w:eastAsia="Arial" w:hAnsi="Arial" w:cs="Arial"/>
                <w:b/>
                <w:bCs/>
              </w:rPr>
              <w:t>7</w:t>
            </w:r>
            <w:r>
              <w:rPr>
                <w:rFonts w:ascii="Arial" w:eastAsia="Arial" w:hAnsi="Arial" w:cs="Arial"/>
                <w:b/>
                <w:bCs/>
              </w:rPr>
              <w:t xml:space="preserve"> d</w:t>
            </w:r>
            <w:r>
              <w:rPr>
                <w:rFonts w:ascii="Arial" w:eastAsia="Arial" w:hAnsi="Arial" w:cs="Arial"/>
                <w:b/>
              </w:rPr>
              <w:t>ías</w:t>
            </w:r>
            <w:r>
              <w:rPr>
                <w:rFonts w:ascii="Arial" w:eastAsia="Arial" w:hAnsi="Arial" w:cs="Arial"/>
              </w:rPr>
              <w:t xml:space="preserve"> (</w:t>
            </w:r>
            <w:r w:rsidR="00317CE8">
              <w:rPr>
                <w:rFonts w:ascii="Arial" w:eastAsia="Arial" w:hAnsi="Arial" w:cs="Arial"/>
              </w:rPr>
              <w:t>recortada</w:t>
            </w:r>
            <w:r>
              <w:rPr>
                <w:rFonts w:ascii="Arial" w:eastAsia="Arial" w:hAnsi="Arial" w:cs="Arial"/>
              </w:rPr>
              <w:t>)</w:t>
            </w:r>
          </w:p>
        </w:tc>
      </w:tr>
      <w:tr w:rsidR="002E7E05" w14:paraId="01D8E7FD" w14:textId="77777777">
        <w:tc>
          <w:tcPr>
            <w:tcW w:w="4819" w:type="dxa"/>
            <w:shd w:val="clear" w:color="auto" w:fill="auto"/>
          </w:tcPr>
          <w:p w14:paraId="092B6B74" w14:textId="77777777" w:rsidR="002E7E05" w:rsidRDefault="00000000">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2E7E05" w:rsidRDefault="00000000">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000000">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000000">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000000">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000000">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000000">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AC3906">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000000">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000000">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000000">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000000">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000000">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AC3906">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000000">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6E3C65B2"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r w:rsidR="00467F69">
              <w:rPr>
                <w:rFonts w:ascii="Arial" w:eastAsia="Arial" w:hAnsi="Arial" w:cs="Arial"/>
                <w:b/>
                <w:color w:val="000000"/>
              </w:rPr>
              <w:t>OM-54/2024</w:t>
            </w:r>
            <w:r>
              <w:rPr>
                <w:rFonts w:ascii="Arial" w:eastAsia="Arial" w:hAnsi="Arial" w:cs="Arial"/>
                <w:b/>
                <w:color w:val="000000"/>
              </w:rPr>
              <w:t xml:space="preserve"> “</w:t>
            </w:r>
            <w:r w:rsidR="0098710C">
              <w:rPr>
                <w:rFonts w:ascii="Arial" w:eastAsia="Arial" w:hAnsi="Arial" w:cs="Arial"/>
                <w:b/>
                <w:color w:val="000000"/>
              </w:rPr>
              <w:t xml:space="preserve">ADQUISICIÓN DEL SERVICIO DE </w:t>
            </w:r>
            <w:r w:rsidR="009E48E9">
              <w:rPr>
                <w:rFonts w:ascii="Arial" w:eastAsia="Arial" w:hAnsi="Arial" w:cs="Arial"/>
                <w:b/>
                <w:color w:val="000000"/>
              </w:rPr>
              <w:t>MEJORAMIENTO Y MANTENIMIENTO INTEGRAL URBANO CON CAMIONES DE CORRESPONSABILIDAD PARA LOCALIDADES DEL MUNICIPIO DE TLAJOMULCO DE ZÚÑIGA, JALISCO (RECORTADA)</w:t>
            </w:r>
            <w:r w:rsidR="0098710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6458BD3A" w14:textId="77777777" w:rsidR="008508FF" w:rsidRDefault="008508FF" w:rsidP="008508FF">
      <w:pPr>
        <w:widowControl w:val="0"/>
        <w:spacing w:line="240" w:lineRule="auto"/>
        <w:ind w:left="108" w:right="622" w:hanging="108"/>
        <w:rPr>
          <w:rFonts w:ascii="Arial" w:eastAsia="Arial" w:hAnsi="Arial" w:cs="Arial"/>
          <w:color w:val="000000"/>
        </w:rPr>
      </w:pPr>
    </w:p>
    <w:p w14:paraId="3B604DD6" w14:textId="77777777" w:rsidR="008508FF" w:rsidRDefault="008508FF" w:rsidP="008508FF">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896D691" w14:textId="77777777" w:rsidR="008508FF" w:rsidRDefault="008508FF" w:rsidP="008508FF">
      <w:pPr>
        <w:tabs>
          <w:tab w:val="left" w:pos="9680"/>
        </w:tabs>
        <w:spacing w:line="240" w:lineRule="auto"/>
        <w:ind w:right="16"/>
        <w:rPr>
          <w:rFonts w:ascii="Arial" w:eastAsia="Arial" w:hAnsi="Arial" w:cs="Arial"/>
          <w:color w:val="000000"/>
        </w:rPr>
      </w:pPr>
    </w:p>
    <w:p w14:paraId="4DB271FC" w14:textId="77777777" w:rsidR="008508FF" w:rsidRDefault="008508FF" w:rsidP="008508FF">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51CBAD62" w14:textId="77777777" w:rsidR="008508FF" w:rsidRDefault="008508FF" w:rsidP="008508FF">
      <w:pPr>
        <w:tabs>
          <w:tab w:val="left" w:pos="9680"/>
        </w:tabs>
        <w:ind w:right="16"/>
        <w:jc w:val="center"/>
        <w:rPr>
          <w:rFonts w:ascii="Arial" w:eastAsia="Arial" w:hAnsi="Arial" w:cs="Arial"/>
          <w:color w:val="000000"/>
          <w:lang w:val="de-DE"/>
        </w:rPr>
      </w:pPr>
    </w:p>
    <w:p w14:paraId="0DC76478" w14:textId="77777777" w:rsidR="008508FF" w:rsidRDefault="008508FF" w:rsidP="008508FF">
      <w:pPr>
        <w:tabs>
          <w:tab w:val="left" w:pos="9680"/>
        </w:tabs>
        <w:ind w:right="16"/>
        <w:jc w:val="center"/>
        <w:rPr>
          <w:rFonts w:ascii="Arial" w:eastAsia="Arial" w:hAnsi="Arial" w:cs="Arial"/>
          <w:color w:val="000000"/>
          <w:lang w:val="de-DE"/>
        </w:rPr>
      </w:pPr>
    </w:p>
    <w:p w14:paraId="3565F73B" w14:textId="77777777" w:rsidR="008508FF" w:rsidRDefault="008508FF" w:rsidP="008508FF">
      <w:pPr>
        <w:tabs>
          <w:tab w:val="left" w:pos="9680"/>
        </w:tabs>
        <w:ind w:right="16"/>
        <w:jc w:val="center"/>
        <w:rPr>
          <w:rFonts w:ascii="Arial" w:eastAsia="Arial" w:hAnsi="Arial" w:cs="Arial"/>
          <w:color w:val="000000"/>
          <w:lang w:val="de-DE"/>
        </w:rPr>
      </w:pPr>
    </w:p>
    <w:p w14:paraId="33D78080" w14:textId="77777777" w:rsidR="008508FF" w:rsidRPr="008508FF" w:rsidRDefault="008508FF" w:rsidP="008508FF">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731DA627" w14:textId="6D697814" w:rsidR="008508FF" w:rsidRDefault="008508FF" w:rsidP="008508FF">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5A80175C" w14:textId="77777777" w:rsidR="008508FF" w:rsidRDefault="008508FF">
      <w:pPr>
        <w:widowControl w:val="0"/>
        <w:spacing w:line="240" w:lineRule="auto"/>
        <w:ind w:left="108" w:right="622" w:hanging="108"/>
        <w:rPr>
          <w:rFonts w:ascii="Arial" w:eastAsia="Arial" w:hAnsi="Arial" w:cs="Arial"/>
          <w:color w:val="000000"/>
        </w:rPr>
      </w:pPr>
    </w:p>
    <w:p w14:paraId="66A97DD4" w14:textId="77777777" w:rsidR="008508FF" w:rsidRDefault="008508FF">
      <w:pPr>
        <w:widowControl w:val="0"/>
        <w:spacing w:line="240" w:lineRule="auto"/>
        <w:ind w:left="108" w:right="622" w:hanging="108"/>
        <w:rPr>
          <w:rFonts w:ascii="Arial" w:eastAsia="Arial" w:hAnsi="Arial" w:cs="Arial"/>
          <w:color w:val="000000"/>
        </w:rPr>
      </w:pPr>
    </w:p>
    <w:p w14:paraId="1B790070" w14:textId="77777777" w:rsidR="004E077B" w:rsidRDefault="004E077B">
      <w:pPr>
        <w:spacing w:line="240" w:lineRule="auto"/>
        <w:ind w:right="622"/>
        <w:jc w:val="center"/>
        <w:rPr>
          <w:rFonts w:ascii="Arial" w:eastAsia="Arial" w:hAnsi="Arial" w:cs="Arial"/>
          <w:b/>
        </w:rPr>
      </w:pPr>
    </w:p>
    <w:p w14:paraId="199211FC" w14:textId="77777777" w:rsidR="008508FF" w:rsidRDefault="008508FF">
      <w:pPr>
        <w:spacing w:line="240" w:lineRule="auto"/>
        <w:ind w:right="622"/>
        <w:jc w:val="center"/>
        <w:rPr>
          <w:rFonts w:ascii="Arial" w:eastAsia="Arial" w:hAnsi="Arial" w:cs="Arial"/>
          <w:b/>
        </w:rPr>
      </w:pPr>
    </w:p>
    <w:p w14:paraId="17A7908D" w14:textId="77777777" w:rsidR="008508FF" w:rsidRDefault="008508FF">
      <w:pPr>
        <w:spacing w:line="240" w:lineRule="auto"/>
        <w:ind w:right="622"/>
        <w:jc w:val="center"/>
        <w:rPr>
          <w:rFonts w:ascii="Arial" w:eastAsia="Arial" w:hAnsi="Arial" w:cs="Arial"/>
          <w:b/>
        </w:rPr>
      </w:pPr>
    </w:p>
    <w:p w14:paraId="29B54DA6" w14:textId="77777777" w:rsidR="002E7E05" w:rsidRDefault="00000000">
      <w:pPr>
        <w:spacing w:line="240" w:lineRule="auto"/>
        <w:ind w:right="622"/>
        <w:jc w:val="center"/>
        <w:rPr>
          <w:rFonts w:ascii="Arial" w:eastAsia="Arial" w:hAnsi="Arial" w:cs="Arial"/>
          <w:b/>
        </w:rPr>
      </w:pPr>
      <w:r>
        <w:rPr>
          <w:rFonts w:ascii="Arial" w:eastAsia="Arial" w:hAnsi="Arial" w:cs="Arial"/>
          <w:b/>
        </w:rPr>
        <w:t>ESPECIFICACIONES</w:t>
      </w:r>
    </w:p>
    <w:p w14:paraId="2B7098EC" w14:textId="02DF0F7C" w:rsidR="002E7E05" w:rsidRDefault="00467F69">
      <w:pPr>
        <w:spacing w:line="240" w:lineRule="auto"/>
        <w:ind w:right="622"/>
        <w:jc w:val="center"/>
        <w:rPr>
          <w:rFonts w:ascii="Arial" w:eastAsia="Arial" w:hAnsi="Arial" w:cs="Arial"/>
          <w:b/>
        </w:rPr>
      </w:pPr>
      <w:bookmarkStart w:id="4" w:name="_Hlk152063566"/>
      <w:r>
        <w:rPr>
          <w:rFonts w:ascii="Arial" w:eastAsia="Arial" w:hAnsi="Arial" w:cs="Arial"/>
          <w:b/>
          <w:bCs/>
        </w:rPr>
        <w:t>OM-54/2024</w:t>
      </w:r>
    </w:p>
    <w:p w14:paraId="19A75161" w14:textId="729F2864" w:rsidR="002E7E05" w:rsidRDefault="00000000">
      <w:pPr>
        <w:spacing w:line="240" w:lineRule="auto"/>
        <w:ind w:right="622"/>
        <w:jc w:val="center"/>
        <w:rPr>
          <w:rFonts w:ascii="Arial" w:eastAsia="Arial" w:hAnsi="Arial" w:cs="Arial"/>
          <w:b/>
        </w:rPr>
      </w:pPr>
      <w:r>
        <w:rPr>
          <w:rFonts w:ascii="Arial" w:eastAsia="Arial" w:hAnsi="Arial" w:cs="Arial"/>
          <w:b/>
        </w:rPr>
        <w:t>“</w:t>
      </w:r>
      <w:r w:rsidR="0098710C">
        <w:rPr>
          <w:rFonts w:ascii="Arial" w:eastAsia="Arial" w:hAnsi="Arial" w:cs="Arial"/>
          <w:b/>
        </w:rPr>
        <w:t xml:space="preserve">ADQUISICIÓN DEL SERVICIO DE </w:t>
      </w:r>
      <w:r w:rsidR="009E48E9">
        <w:rPr>
          <w:rFonts w:ascii="Arial" w:eastAsia="Arial" w:hAnsi="Arial" w:cs="Arial"/>
          <w:b/>
        </w:rPr>
        <w:t>MEJORAMIENTO Y MANTENIMIENTO INTEGRAL URBANO CON CAMIONES DE CORRESPONSABILIDAD PARA LOCALIDADES DEL MUNICIPIO DE TLAJOMULCO DE ZÚÑIGA, JALISCO (RECORTADA)</w:t>
      </w:r>
      <w:r w:rsidR="0098710C">
        <w:rPr>
          <w:rFonts w:ascii="Arial" w:eastAsia="Arial" w:hAnsi="Arial" w:cs="Arial"/>
          <w:b/>
        </w:rPr>
        <w:t>”</w:t>
      </w:r>
    </w:p>
    <w:bookmarkEnd w:id="4"/>
    <w:p w14:paraId="42E9C031" w14:textId="77777777" w:rsidR="002E7E05" w:rsidRDefault="002E7E05">
      <w:pPr>
        <w:spacing w:line="240" w:lineRule="auto"/>
        <w:rPr>
          <w:rFonts w:ascii="Arial" w:eastAsia="Times New Roman" w:hAnsi="Arial" w:cs="Arial"/>
          <w:sz w:val="24"/>
          <w:szCs w:val="24"/>
          <w:lang w:eastAsia="es-ES"/>
        </w:rPr>
      </w:pPr>
    </w:p>
    <w:p w14:paraId="3FA6EAC3"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El Municipio de Tlajomulco de Zúñiga, Jalisco tiene el requerimiento de prestar el Servicio de Mejoramiento y Mantenimiento Integral Urbano con Camiones de Corresponsabilidad para Localidades del Municipio de Tlajomulco de Zúñiga, Jalisco, para lo cual requiere de las características mínimas siguientes:</w:t>
      </w:r>
    </w:p>
    <w:p w14:paraId="018900C1" w14:textId="77777777" w:rsidR="00263EEE" w:rsidRPr="006B4904" w:rsidRDefault="00263EEE" w:rsidP="00263EEE">
      <w:pPr>
        <w:spacing w:line="240" w:lineRule="auto"/>
        <w:rPr>
          <w:rFonts w:ascii="Arial" w:eastAsia="Times New Roman" w:hAnsi="Arial" w:cs="Arial"/>
          <w:lang w:eastAsia="es-ES"/>
        </w:rPr>
      </w:pPr>
    </w:p>
    <w:p w14:paraId="7FEE8B48"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 xml:space="preserve"> Cobertura de los servicios </w:t>
      </w:r>
    </w:p>
    <w:p w14:paraId="7D623893" w14:textId="77777777" w:rsidR="00263EEE" w:rsidRPr="006B4904" w:rsidRDefault="00263EEE" w:rsidP="00263EEE">
      <w:pPr>
        <w:spacing w:line="240" w:lineRule="auto"/>
        <w:rPr>
          <w:rFonts w:ascii="Arial" w:eastAsia="Times New Roman" w:hAnsi="Arial" w:cs="Arial"/>
          <w:lang w:eastAsia="es-ES"/>
        </w:rPr>
      </w:pPr>
    </w:p>
    <w:p w14:paraId="3C2148AD"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El proveedor adjudicado deberá de ejecutar en las localidades designadas dentro del Municipio de Tlajomulco de Zúñiga, Jalisco.</w:t>
      </w:r>
    </w:p>
    <w:p w14:paraId="63EDF6A1" w14:textId="77777777" w:rsidR="00263EEE" w:rsidRPr="006B4904" w:rsidRDefault="00263EEE" w:rsidP="00263EEE">
      <w:pPr>
        <w:spacing w:line="240" w:lineRule="auto"/>
        <w:rPr>
          <w:rFonts w:ascii="Arial" w:eastAsia="Times New Roman" w:hAnsi="Arial" w:cs="Arial"/>
          <w:lang w:eastAsia="es-ES"/>
        </w:rPr>
      </w:pPr>
    </w:p>
    <w:p w14:paraId="3B1B59E7"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Objeto de los servicios</w:t>
      </w:r>
    </w:p>
    <w:p w14:paraId="2354BD79" w14:textId="77777777" w:rsidR="00263EEE" w:rsidRPr="006B4904" w:rsidRDefault="00263EEE" w:rsidP="00263EEE">
      <w:pPr>
        <w:spacing w:line="240" w:lineRule="auto"/>
        <w:rPr>
          <w:rFonts w:ascii="Arial" w:eastAsia="Times New Roman" w:hAnsi="Arial" w:cs="Arial"/>
          <w:lang w:eastAsia="es-ES"/>
        </w:rPr>
      </w:pPr>
    </w:p>
    <w:p w14:paraId="04F59A89" w14:textId="7B51F006"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servicio se </w:t>
      </w:r>
      <w:r w:rsidR="006B4904" w:rsidRPr="006B4904">
        <w:rPr>
          <w:rFonts w:ascii="Arial" w:eastAsia="Times New Roman" w:hAnsi="Arial" w:cs="Arial"/>
          <w:lang w:eastAsia="es-ES"/>
        </w:rPr>
        <w:t>ejecutará</w:t>
      </w:r>
      <w:r w:rsidRPr="006B4904">
        <w:rPr>
          <w:rFonts w:ascii="Arial" w:eastAsia="Times New Roman" w:hAnsi="Arial" w:cs="Arial"/>
          <w:lang w:eastAsia="es-ES"/>
        </w:rPr>
        <w:t xml:space="preserve"> para que se den intervenciones de mejoramiento y mantenimiento urbano consistente entre otros: Pintura (Fachadas de espacios públicos, Banquetas, Vialidades, Equipamiento Urbano y similares), Recolección de Basura (orgánica, inorgánica, maleza y similares), Poda (áreas verdes, césped, arbustos, árboles y similares), Reparaciones soldadura, fumigación, entre otros mantenimientos necesarios de los espacios públicos.</w:t>
      </w:r>
    </w:p>
    <w:p w14:paraId="5D36297F" w14:textId="77777777" w:rsidR="00263EEE" w:rsidRPr="006B4904" w:rsidRDefault="00263EEE" w:rsidP="00263EEE">
      <w:pPr>
        <w:spacing w:line="240" w:lineRule="auto"/>
        <w:rPr>
          <w:rFonts w:ascii="Arial" w:eastAsia="Times New Roman" w:hAnsi="Arial" w:cs="Arial"/>
          <w:lang w:eastAsia="es-ES"/>
        </w:rPr>
      </w:pPr>
    </w:p>
    <w:p w14:paraId="01E2E207"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Frecuencia de servicio.</w:t>
      </w:r>
    </w:p>
    <w:p w14:paraId="7805E7CD" w14:textId="77777777" w:rsidR="00263EEE" w:rsidRPr="006B4904" w:rsidRDefault="00263EEE" w:rsidP="00263EEE">
      <w:pPr>
        <w:spacing w:line="240" w:lineRule="auto"/>
        <w:rPr>
          <w:rFonts w:ascii="Arial" w:eastAsia="Times New Roman" w:hAnsi="Arial" w:cs="Arial"/>
          <w:lang w:eastAsia="es-ES"/>
        </w:rPr>
      </w:pPr>
    </w:p>
    <w:p w14:paraId="159AABB3"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El servicio se prestará mínimo 28 días de cada mes de calendario, preferentemente lunes a sábado y los domingos que determine el área requirente. Cada servicio se realizará en un tiempo de 8 horas al día, pudiendo ser en varios puntos del Municipio.</w:t>
      </w:r>
    </w:p>
    <w:p w14:paraId="69B99EC2" w14:textId="77777777" w:rsidR="00263EEE" w:rsidRPr="006B4904" w:rsidRDefault="00263EEE" w:rsidP="00263EEE">
      <w:pPr>
        <w:spacing w:line="240" w:lineRule="auto"/>
        <w:rPr>
          <w:rFonts w:ascii="Arial" w:eastAsia="Times New Roman" w:hAnsi="Arial" w:cs="Arial"/>
          <w:lang w:eastAsia="es-ES"/>
        </w:rPr>
      </w:pPr>
    </w:p>
    <w:p w14:paraId="110C632D"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Personal para el servicio (Cuadrilla).</w:t>
      </w:r>
    </w:p>
    <w:p w14:paraId="23458200" w14:textId="77777777" w:rsidR="00263EEE" w:rsidRPr="006B4904" w:rsidRDefault="00263EEE" w:rsidP="00263EEE">
      <w:pPr>
        <w:spacing w:line="240" w:lineRule="auto"/>
        <w:rPr>
          <w:rFonts w:ascii="Arial" w:eastAsia="Times New Roman" w:hAnsi="Arial" w:cs="Arial"/>
          <w:lang w:eastAsia="es-ES"/>
        </w:rPr>
      </w:pPr>
    </w:p>
    <w:p w14:paraId="3C990CDF" w14:textId="3CC16096"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Para cada servicio el proveedor adjudicado deberá de Contar con una cuadrilla compuesta de 1 Chofer con licencia de conducir modalidad chofer vigente y 1 Ayudante General con licencia de conducir modalidad chofer vigente.</w:t>
      </w:r>
    </w:p>
    <w:p w14:paraId="568F9CCE" w14:textId="77777777" w:rsidR="00263EEE" w:rsidRPr="006B4904" w:rsidRDefault="00263EEE" w:rsidP="00263EEE">
      <w:pPr>
        <w:spacing w:line="240" w:lineRule="auto"/>
        <w:rPr>
          <w:rFonts w:ascii="Arial" w:eastAsia="Times New Roman" w:hAnsi="Arial" w:cs="Arial"/>
          <w:lang w:eastAsia="es-ES"/>
        </w:rPr>
      </w:pPr>
    </w:p>
    <w:p w14:paraId="5E7F63D9"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Proveedor adjudicado deberá de presentar el alta y en su caso los pagos de Seguridad Social de las personas que laboraran en la ejecución de los trabajos. </w:t>
      </w:r>
    </w:p>
    <w:p w14:paraId="582673F1" w14:textId="77777777" w:rsidR="00263EEE" w:rsidRPr="006B4904" w:rsidRDefault="00263EEE" w:rsidP="00263EEE">
      <w:pPr>
        <w:spacing w:line="240" w:lineRule="auto"/>
        <w:rPr>
          <w:rFonts w:ascii="Arial" w:eastAsia="Times New Roman" w:hAnsi="Arial" w:cs="Arial"/>
          <w:lang w:eastAsia="es-ES"/>
        </w:rPr>
      </w:pPr>
    </w:p>
    <w:p w14:paraId="563AC4E8"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 xml:space="preserve">Servicios </w:t>
      </w:r>
    </w:p>
    <w:p w14:paraId="27A0E8C0" w14:textId="77777777" w:rsidR="00263EEE" w:rsidRPr="006B4904" w:rsidRDefault="00263EEE" w:rsidP="00263EEE">
      <w:pPr>
        <w:spacing w:line="240" w:lineRule="auto"/>
        <w:rPr>
          <w:rFonts w:ascii="Arial" w:eastAsia="Times New Roman" w:hAnsi="Arial" w:cs="Arial"/>
          <w:lang w:eastAsia="es-ES"/>
        </w:rPr>
      </w:pPr>
    </w:p>
    <w:p w14:paraId="630DD9E0" w14:textId="2035F192"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proveedor deberá tener la capacidad de realizar 10 servicios al día en forma simultánea y se realizaran mínimo 6 servicios por cada vehículo y cuadrilla a la semana. </w:t>
      </w:r>
    </w:p>
    <w:p w14:paraId="256C5532" w14:textId="77777777" w:rsidR="00263EEE" w:rsidRPr="006B4904" w:rsidRDefault="00263EEE" w:rsidP="00263EEE">
      <w:pPr>
        <w:spacing w:line="240" w:lineRule="auto"/>
        <w:rPr>
          <w:rFonts w:ascii="Arial" w:eastAsia="Times New Roman" w:hAnsi="Arial" w:cs="Arial"/>
          <w:lang w:eastAsia="es-ES"/>
        </w:rPr>
      </w:pPr>
    </w:p>
    <w:p w14:paraId="480D2B71"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lastRenderedPageBreak/>
        <w:t xml:space="preserve">Vehículos </w:t>
      </w:r>
    </w:p>
    <w:p w14:paraId="3C486472" w14:textId="77777777" w:rsidR="00263EEE" w:rsidRPr="006B4904" w:rsidRDefault="00263EEE" w:rsidP="00263EEE">
      <w:pPr>
        <w:spacing w:line="240" w:lineRule="auto"/>
        <w:rPr>
          <w:rFonts w:ascii="Arial" w:eastAsia="Times New Roman" w:hAnsi="Arial" w:cs="Arial"/>
          <w:lang w:eastAsia="es-ES"/>
        </w:rPr>
      </w:pPr>
    </w:p>
    <w:p w14:paraId="40422D73"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10 vehículos con las siguientes características:</w:t>
      </w:r>
    </w:p>
    <w:p w14:paraId="45D66BEB" w14:textId="77777777" w:rsidR="00263EEE" w:rsidRPr="006B4904" w:rsidRDefault="00263EEE" w:rsidP="00263EEE">
      <w:pPr>
        <w:spacing w:line="240" w:lineRule="auto"/>
        <w:rPr>
          <w:rFonts w:ascii="Arial" w:eastAsia="Times New Roman" w:hAnsi="Arial" w:cs="Arial"/>
          <w:lang w:eastAsia="es-ES"/>
        </w:rPr>
      </w:pPr>
    </w:p>
    <w:p w14:paraId="4DF6F9BA"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Camión de 5 toneladas, caja seca, modelo 2023 o superior, color blanco, con equipo de rastreo satelital GPS, rotulado bajo la imagen institucional que determine el gobierno municipal, con caja metálica para almacenar herramienta.</w:t>
      </w:r>
    </w:p>
    <w:p w14:paraId="16D728DE" w14:textId="77777777" w:rsidR="00263EEE" w:rsidRPr="006B4904" w:rsidRDefault="00263EEE" w:rsidP="00263EEE">
      <w:pPr>
        <w:spacing w:line="240" w:lineRule="auto"/>
        <w:rPr>
          <w:rFonts w:ascii="Arial" w:eastAsia="Times New Roman" w:hAnsi="Arial" w:cs="Arial"/>
          <w:lang w:eastAsia="es-ES"/>
        </w:rPr>
      </w:pPr>
    </w:p>
    <w:p w14:paraId="57478D63" w14:textId="77777777" w:rsidR="00263EEE" w:rsidRPr="006B4904" w:rsidRDefault="00263EEE" w:rsidP="00263EEE">
      <w:pPr>
        <w:spacing w:line="240" w:lineRule="auto"/>
        <w:rPr>
          <w:rFonts w:ascii="Arial" w:eastAsia="Times New Roman" w:hAnsi="Arial" w:cs="Arial"/>
          <w:lang w:eastAsia="es-ES"/>
        </w:rPr>
      </w:pPr>
    </w:p>
    <w:p w14:paraId="6F07E667"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En la propuesta deberá presentar copias de tarjeta de circulación de los camiones, </w:t>
      </w:r>
    </w:p>
    <w:p w14:paraId="1D1EFCA6" w14:textId="77777777" w:rsidR="00263EEE" w:rsidRPr="006B4904" w:rsidRDefault="00263EEE" w:rsidP="00263EEE">
      <w:pPr>
        <w:spacing w:line="240" w:lineRule="auto"/>
        <w:rPr>
          <w:rFonts w:ascii="Arial" w:eastAsia="Times New Roman" w:hAnsi="Arial" w:cs="Arial"/>
          <w:lang w:eastAsia="es-ES"/>
        </w:rPr>
      </w:pPr>
    </w:p>
    <w:p w14:paraId="48CF3044"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Seguros de los camiones cobertura amplia y estas deberán de permanecer vigentes mientras dure el contrato.</w:t>
      </w:r>
    </w:p>
    <w:p w14:paraId="4F7B70E0" w14:textId="77777777" w:rsidR="00263EEE" w:rsidRPr="006B4904" w:rsidRDefault="00263EEE" w:rsidP="00263EEE">
      <w:pPr>
        <w:spacing w:line="240" w:lineRule="auto"/>
        <w:rPr>
          <w:rFonts w:ascii="Arial" w:eastAsia="Times New Roman" w:hAnsi="Arial" w:cs="Arial"/>
          <w:lang w:eastAsia="es-ES"/>
        </w:rPr>
      </w:pPr>
    </w:p>
    <w:p w14:paraId="4DA628DA"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Los 10 camiones, herramientas y equipo de trabajo estarán en resguardo del Gobierno Municipal, el lugar y horarios se dará a conocer al proveedor adjudicado. En dicho lugar deberán de iniciar las labores el personal del adjudicado (choferes y ayudantes).</w:t>
      </w:r>
    </w:p>
    <w:p w14:paraId="7A7A071D" w14:textId="77777777" w:rsidR="00263EEE" w:rsidRPr="006B4904" w:rsidRDefault="00263EEE" w:rsidP="00263EEE">
      <w:pPr>
        <w:spacing w:line="240" w:lineRule="auto"/>
        <w:rPr>
          <w:rFonts w:ascii="Arial" w:eastAsia="Times New Roman" w:hAnsi="Arial" w:cs="Arial"/>
          <w:lang w:eastAsia="es-ES"/>
        </w:rPr>
      </w:pPr>
    </w:p>
    <w:p w14:paraId="197B85F0" w14:textId="77777777" w:rsidR="00263EEE" w:rsidRPr="006B4904" w:rsidRDefault="00263EEE" w:rsidP="00263EEE">
      <w:pPr>
        <w:spacing w:line="240" w:lineRule="auto"/>
        <w:rPr>
          <w:rFonts w:ascii="Arial" w:eastAsia="Times New Roman" w:hAnsi="Arial" w:cs="Arial"/>
          <w:lang w:eastAsia="es-ES"/>
        </w:rPr>
      </w:pPr>
    </w:p>
    <w:p w14:paraId="32CE0CAC"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Plataforma satelital</w:t>
      </w:r>
    </w:p>
    <w:p w14:paraId="25C8FD13" w14:textId="77777777" w:rsidR="00263EEE" w:rsidRPr="006B4904" w:rsidRDefault="00263EEE" w:rsidP="00263EEE">
      <w:pPr>
        <w:spacing w:line="240" w:lineRule="auto"/>
        <w:rPr>
          <w:rFonts w:ascii="Arial" w:eastAsia="Times New Roman" w:hAnsi="Arial" w:cs="Arial"/>
          <w:lang w:eastAsia="es-ES"/>
        </w:rPr>
      </w:pPr>
    </w:p>
    <w:p w14:paraId="2AA18C88"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Cada vehículo deberá estar sujeto a una plataforma de rastreo satelital y esta deberá ser compartida con el Gobierno Municipal, teniendo 24 horas de cualquier día acceso remoto.</w:t>
      </w:r>
    </w:p>
    <w:p w14:paraId="129913F4" w14:textId="77777777" w:rsidR="00263EEE" w:rsidRPr="006B4904" w:rsidRDefault="00263EEE" w:rsidP="00263EEE">
      <w:pPr>
        <w:spacing w:line="240" w:lineRule="auto"/>
        <w:rPr>
          <w:rFonts w:ascii="Arial" w:eastAsia="Times New Roman" w:hAnsi="Arial" w:cs="Arial"/>
          <w:lang w:eastAsia="es-ES"/>
        </w:rPr>
      </w:pPr>
    </w:p>
    <w:p w14:paraId="159F2340"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Combustible y mantenimiento.</w:t>
      </w:r>
    </w:p>
    <w:p w14:paraId="15181D27" w14:textId="77777777" w:rsidR="00263EEE" w:rsidRPr="006B4904" w:rsidRDefault="00263EEE" w:rsidP="00263EEE">
      <w:pPr>
        <w:spacing w:line="240" w:lineRule="auto"/>
        <w:rPr>
          <w:rFonts w:ascii="Arial" w:eastAsia="Times New Roman" w:hAnsi="Arial" w:cs="Arial"/>
          <w:lang w:eastAsia="es-ES"/>
        </w:rPr>
      </w:pPr>
    </w:p>
    <w:p w14:paraId="59231EE8" w14:textId="0C1338B2"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suministro de Gasolina será obligación del proveedor, siendo el suficiente para las rutas y lugares que les asigne el Gobierno Municipal. </w:t>
      </w:r>
    </w:p>
    <w:p w14:paraId="33659DE6" w14:textId="77777777" w:rsidR="00263EEE" w:rsidRPr="006B4904" w:rsidRDefault="00263EEE" w:rsidP="00263EEE">
      <w:pPr>
        <w:spacing w:line="240" w:lineRule="auto"/>
        <w:rPr>
          <w:rFonts w:ascii="Arial" w:eastAsia="Times New Roman" w:hAnsi="Arial" w:cs="Arial"/>
          <w:lang w:eastAsia="es-ES"/>
        </w:rPr>
      </w:pPr>
    </w:p>
    <w:p w14:paraId="5C673E72"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mantenimiento preventivo y correctivo de las unidades es a cargo del proveedor adjudicado, así como los gastos que se pudiesen originar por la ejecución de los trabajos. </w:t>
      </w:r>
    </w:p>
    <w:p w14:paraId="7FD37699" w14:textId="77777777" w:rsidR="00263EEE" w:rsidRPr="006B4904" w:rsidRDefault="00263EEE" w:rsidP="00263EEE">
      <w:pPr>
        <w:spacing w:line="240" w:lineRule="auto"/>
        <w:rPr>
          <w:rFonts w:ascii="Arial" w:eastAsia="Times New Roman" w:hAnsi="Arial" w:cs="Arial"/>
          <w:lang w:eastAsia="es-ES"/>
        </w:rPr>
      </w:pPr>
    </w:p>
    <w:p w14:paraId="6E79CDF4"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Equipamiento</w:t>
      </w:r>
    </w:p>
    <w:p w14:paraId="51DF0BF1" w14:textId="77777777" w:rsidR="00263EEE" w:rsidRPr="006B4904" w:rsidRDefault="00263EEE" w:rsidP="00263EEE">
      <w:pPr>
        <w:spacing w:line="240" w:lineRule="auto"/>
        <w:rPr>
          <w:rFonts w:ascii="Arial" w:eastAsia="Times New Roman" w:hAnsi="Arial" w:cs="Arial"/>
          <w:lang w:eastAsia="es-ES"/>
        </w:rPr>
      </w:pPr>
    </w:p>
    <w:p w14:paraId="74D9F197" w14:textId="735264DD"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Cada servicio deberá estar equipada con material y herramienta de trabajo siendo el siguiente</w:t>
      </w:r>
      <w:r w:rsidR="002201BB" w:rsidRPr="006B4904">
        <w:rPr>
          <w:rFonts w:ascii="Arial" w:eastAsia="Times New Roman" w:hAnsi="Arial" w:cs="Arial"/>
          <w:lang w:eastAsia="es-ES"/>
        </w:rPr>
        <w:t xml:space="preserve"> con especificaciones mínimas</w:t>
      </w:r>
      <w:r w:rsidRPr="006B4904">
        <w:rPr>
          <w:rFonts w:ascii="Arial" w:eastAsia="Times New Roman" w:hAnsi="Arial" w:cs="Arial"/>
          <w:lang w:eastAsia="es-ES"/>
        </w:rPr>
        <w:t>:</w:t>
      </w:r>
    </w:p>
    <w:p w14:paraId="68163446" w14:textId="77777777" w:rsidR="00263EEE" w:rsidRPr="006B4904" w:rsidRDefault="00263EEE" w:rsidP="00263EEE">
      <w:pPr>
        <w:spacing w:line="240" w:lineRule="auto"/>
        <w:rPr>
          <w:rFonts w:ascii="Arial" w:eastAsia="Times New Roman" w:hAnsi="Arial" w:cs="Arial"/>
          <w:lang w:eastAsia="es-ES"/>
        </w:rPr>
      </w:pPr>
    </w:p>
    <w:p w14:paraId="36E05C8A" w14:textId="77777777" w:rsidR="00263EEE" w:rsidRPr="006B4904" w:rsidRDefault="00263EEE" w:rsidP="00263EEE">
      <w:pPr>
        <w:spacing w:line="240" w:lineRule="auto"/>
        <w:rPr>
          <w:rFonts w:ascii="Arial" w:eastAsia="Times New Roman" w:hAnsi="Arial" w:cs="Arial"/>
          <w:lang w:eastAsia="es-ES"/>
        </w:rPr>
      </w:pPr>
    </w:p>
    <w:p w14:paraId="584ADE51" w14:textId="77777777" w:rsidR="00263EEE" w:rsidRPr="006B4904" w:rsidRDefault="00263EEE" w:rsidP="00263EEE">
      <w:pPr>
        <w:spacing w:line="240" w:lineRule="auto"/>
        <w:rPr>
          <w:rFonts w:ascii="Arial" w:eastAsia="Times New Roman" w:hAnsi="Arial" w:cs="Arial"/>
          <w:lang w:eastAsia="es-ES"/>
        </w:rPr>
      </w:pPr>
    </w:p>
    <w:tbl>
      <w:tblPr>
        <w:tblW w:w="9629" w:type="dxa"/>
        <w:tblCellMar>
          <w:left w:w="70" w:type="dxa"/>
          <w:right w:w="70" w:type="dxa"/>
        </w:tblCellMar>
        <w:tblLook w:val="04A0" w:firstRow="1" w:lastRow="0" w:firstColumn="1" w:lastColumn="0" w:noHBand="0" w:noVBand="1"/>
      </w:tblPr>
      <w:tblGrid>
        <w:gridCol w:w="1185"/>
        <w:gridCol w:w="1073"/>
        <w:gridCol w:w="7371"/>
      </w:tblGrid>
      <w:tr w:rsidR="00263EEE" w:rsidRPr="006B4904" w14:paraId="35BB8A58" w14:textId="77777777" w:rsidTr="00784EB5">
        <w:trPr>
          <w:trHeight w:val="300"/>
        </w:trPr>
        <w:tc>
          <w:tcPr>
            <w:tcW w:w="118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B3FAE81" w14:textId="77777777" w:rsidR="00263EEE" w:rsidRPr="006B4904" w:rsidRDefault="00263EEE" w:rsidP="00263EEE">
            <w:pPr>
              <w:spacing w:line="240" w:lineRule="auto"/>
              <w:jc w:val="center"/>
              <w:rPr>
                <w:rFonts w:ascii="Arial" w:eastAsia="Times New Roman" w:hAnsi="Arial" w:cs="Arial"/>
                <w:b/>
                <w:bCs/>
                <w:lang w:eastAsia="es-ES"/>
              </w:rPr>
            </w:pPr>
            <w:r w:rsidRPr="006B4904">
              <w:rPr>
                <w:rFonts w:ascii="Arial" w:eastAsia="Times New Roman" w:hAnsi="Arial" w:cs="Arial"/>
                <w:b/>
                <w:bCs/>
                <w:lang w:eastAsia="es-ES"/>
              </w:rPr>
              <w:t>Cantidad</w:t>
            </w:r>
          </w:p>
        </w:tc>
        <w:tc>
          <w:tcPr>
            <w:tcW w:w="1073"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51665F9" w14:textId="77777777" w:rsidR="00263EEE" w:rsidRPr="006B4904" w:rsidRDefault="00263EEE" w:rsidP="00263EEE">
            <w:pPr>
              <w:spacing w:line="240" w:lineRule="auto"/>
              <w:jc w:val="center"/>
              <w:rPr>
                <w:rFonts w:ascii="Arial" w:eastAsia="Times New Roman" w:hAnsi="Arial" w:cs="Arial"/>
                <w:b/>
                <w:bCs/>
                <w:lang w:eastAsia="es-ES"/>
              </w:rPr>
            </w:pPr>
            <w:r w:rsidRPr="006B4904">
              <w:rPr>
                <w:rFonts w:ascii="Arial" w:eastAsia="Times New Roman" w:hAnsi="Arial" w:cs="Arial"/>
                <w:b/>
                <w:bCs/>
                <w:lang w:eastAsia="es-ES"/>
              </w:rPr>
              <w:t>Unidad de media</w:t>
            </w:r>
          </w:p>
        </w:tc>
        <w:tc>
          <w:tcPr>
            <w:tcW w:w="7371" w:type="dxa"/>
            <w:tcBorders>
              <w:top w:val="single" w:sz="8"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752FCDE" w14:textId="77777777" w:rsidR="00263EEE" w:rsidRPr="006B4904" w:rsidRDefault="00263EEE" w:rsidP="00263EEE">
            <w:pPr>
              <w:spacing w:line="240" w:lineRule="auto"/>
              <w:rPr>
                <w:rFonts w:ascii="Arial" w:eastAsia="Times New Roman" w:hAnsi="Arial" w:cs="Arial"/>
                <w:b/>
                <w:bCs/>
                <w:lang w:eastAsia="es-ES"/>
              </w:rPr>
            </w:pPr>
            <w:r w:rsidRPr="006B4904">
              <w:rPr>
                <w:rFonts w:ascii="Arial" w:eastAsia="Times New Roman" w:hAnsi="Arial" w:cs="Arial"/>
                <w:b/>
                <w:bCs/>
                <w:lang w:eastAsia="es-ES"/>
              </w:rPr>
              <w:t>Articulo</w:t>
            </w:r>
          </w:p>
        </w:tc>
      </w:tr>
      <w:tr w:rsidR="002201BB" w:rsidRPr="006B4904" w14:paraId="2AB9E087"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76B7268F"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6B4F3EEC"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5A2DD10E" w14:textId="2EFB8B85"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Escalera de tijera de 2.40 mts: está fabricada con una estructura de aluminio, resiste un peso máximo de 175 kg, tiene 7 peldaños y patas con tacones de goma.</w:t>
            </w:r>
          </w:p>
        </w:tc>
      </w:tr>
      <w:tr w:rsidR="002201BB" w:rsidRPr="006B4904" w14:paraId="2C533524"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37E757BC"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lastRenderedPageBreak/>
              <w:t>1</w:t>
            </w:r>
          </w:p>
        </w:tc>
        <w:tc>
          <w:tcPr>
            <w:tcW w:w="1073" w:type="dxa"/>
            <w:tcBorders>
              <w:top w:val="single" w:sz="4" w:space="0" w:color="auto"/>
              <w:left w:val="nil"/>
              <w:bottom w:val="single" w:sz="4" w:space="0" w:color="auto"/>
              <w:right w:val="single" w:sz="4" w:space="0" w:color="auto"/>
            </w:tcBorders>
            <w:vAlign w:val="center"/>
          </w:tcPr>
          <w:p w14:paraId="411DA615"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297944DA" w14:textId="4BE67231"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Escalera tipo extensión de 4.80 mts: Seguras para uso eléctrico. Largueros de fibra de vidrio no conductivos, Escuadras reforzadas, Trabas de resorte aseguran la escalera en alturas hasta de 13’, Capacidad de carga de 300 lbs.</w:t>
            </w:r>
          </w:p>
        </w:tc>
      </w:tr>
      <w:tr w:rsidR="002201BB" w:rsidRPr="006B4904" w14:paraId="712CBEDB"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F2A66A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68B177A0"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7B47163B" w14:textId="46354FB6"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Marro de 10 lbs: con cabeza tipo nevada forjada en acero con caras maquinadas. Herramienta de impacto con mango fabricado en madera de encino estufado, pulido y laqueado. Cabeza 12 lb (5.4 kg), mango 36"</w:t>
            </w:r>
          </w:p>
        </w:tc>
      </w:tr>
      <w:tr w:rsidR="002201BB" w:rsidRPr="006B4904" w14:paraId="705647D7"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5CA2C746"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6BC3C209"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4FF7CBE7" w14:textId="3F88B575"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Barra tipo hechiza de 1.75 mts: Ideal para piso de concreto, Largo de 175 cm, Escoplo de 67 mm, Mango con sección hexagonal de 1-1/4 pulgadas.</w:t>
            </w:r>
          </w:p>
        </w:tc>
      </w:tr>
      <w:tr w:rsidR="002201BB" w:rsidRPr="006B4904" w14:paraId="33CBB4FE"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390EE4A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0B67146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Par</w:t>
            </w:r>
          </w:p>
        </w:tc>
        <w:tc>
          <w:tcPr>
            <w:tcW w:w="7371" w:type="dxa"/>
            <w:tcBorders>
              <w:top w:val="nil"/>
              <w:left w:val="nil"/>
              <w:bottom w:val="single" w:sz="4" w:space="0" w:color="auto"/>
              <w:right w:val="single" w:sz="4" w:space="0" w:color="auto"/>
            </w:tcBorders>
            <w:noWrap/>
            <w:vAlign w:val="center"/>
            <w:hideMark/>
          </w:tcPr>
          <w:p w14:paraId="0C870B5D" w14:textId="2226202D"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Botas de Hule para agua: Con corte y suela de policloruro de vinilo (PVC), Forro textil sintético, Suela antiderrapante, Punta reforzada.</w:t>
            </w:r>
          </w:p>
        </w:tc>
      </w:tr>
      <w:tr w:rsidR="002201BB" w:rsidRPr="006B4904" w14:paraId="02CF0EA6"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28EB55AF"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6742D325"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09AB119B" w14:textId="2BAD2B27"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Cincel tipo hechizo de 12”: Cincel corta frio 1x12" grip. Cortador de frio:, Punta plana, Acero forjado.</w:t>
            </w:r>
          </w:p>
        </w:tc>
      </w:tr>
      <w:tr w:rsidR="002201BB" w:rsidRPr="006B4904" w14:paraId="267A3A51"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5C71B7A4"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119EF769"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1A861FAF" w14:textId="6B452195"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Martillo tipo uña de 16”: Martillo con cabeza forjada en acero, Herramienta de impacto con mango de madera de encino,  Uña curva, cabeza 16 oz, cara 1 1/8", mango 13" (33 cm)</w:t>
            </w:r>
          </w:p>
        </w:tc>
      </w:tr>
      <w:tr w:rsidR="002201BB" w:rsidRPr="006B4904" w14:paraId="7F9E05DC"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3A1C02AD"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5F9F8B1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06A83FA3" w14:textId="3F8A95A5"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 xml:space="preserve">Faja con tirantes: Confeccionado con malla de punto abierto, distribuidas en la espalda, Herrajes plásticos de alta resistencia. </w:t>
            </w:r>
          </w:p>
        </w:tc>
      </w:tr>
      <w:tr w:rsidR="002201BB" w:rsidRPr="006B4904" w14:paraId="78F338A9"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6C53CB38"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8</w:t>
            </w:r>
          </w:p>
        </w:tc>
        <w:tc>
          <w:tcPr>
            <w:tcW w:w="1073" w:type="dxa"/>
            <w:tcBorders>
              <w:top w:val="single" w:sz="4" w:space="0" w:color="auto"/>
              <w:left w:val="nil"/>
              <w:bottom w:val="single" w:sz="4" w:space="0" w:color="auto"/>
              <w:right w:val="single" w:sz="4" w:space="0" w:color="auto"/>
            </w:tcBorders>
            <w:vAlign w:val="center"/>
          </w:tcPr>
          <w:p w14:paraId="65A81EC0"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7DB08BE1" w14:textId="7D3AB208"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Casco protector color naranja: Cascos de uso pesado para utilizar en el trabajo, Suspensión adaptable de 4 puntos para un ajuste perfecto, Polietileno liviano de alta densidad, Ranuras universales se ajustan a orejeras y accesorios instalados en el casco, Incluye banda lavable para la frente.</w:t>
            </w:r>
          </w:p>
        </w:tc>
      </w:tr>
      <w:tr w:rsidR="002201BB" w:rsidRPr="006B4904" w14:paraId="35F18463"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25D1AA66"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8</w:t>
            </w:r>
          </w:p>
        </w:tc>
        <w:tc>
          <w:tcPr>
            <w:tcW w:w="1073" w:type="dxa"/>
            <w:tcBorders>
              <w:top w:val="single" w:sz="4" w:space="0" w:color="auto"/>
              <w:left w:val="nil"/>
              <w:bottom w:val="single" w:sz="4" w:space="0" w:color="auto"/>
              <w:right w:val="single" w:sz="4" w:space="0" w:color="auto"/>
            </w:tcBorders>
            <w:vAlign w:val="center"/>
          </w:tcPr>
          <w:p w14:paraId="7782E065"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72E77E9F" w14:textId="7679DB8A"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Chaleco fluorescente en textil: Chaleco fluorescente en textil naranja Con cierre, Frente de tela duradera con malla fresca en la espalda, 2 bolsillos internos, 5 externos.</w:t>
            </w:r>
          </w:p>
        </w:tc>
      </w:tr>
      <w:tr w:rsidR="002201BB" w:rsidRPr="006B4904" w14:paraId="503F6848"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D708FB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4</w:t>
            </w:r>
          </w:p>
        </w:tc>
        <w:tc>
          <w:tcPr>
            <w:tcW w:w="1073" w:type="dxa"/>
            <w:tcBorders>
              <w:top w:val="single" w:sz="4" w:space="0" w:color="auto"/>
              <w:left w:val="nil"/>
              <w:bottom w:val="single" w:sz="4" w:space="0" w:color="auto"/>
              <w:right w:val="single" w:sz="4" w:space="0" w:color="auto"/>
            </w:tcBorders>
            <w:vAlign w:val="center"/>
          </w:tcPr>
          <w:p w14:paraId="32468A2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572F64EB" w14:textId="43DB5FC0"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Escoba de Jardín: Cabeza fabricada en polipropileno de alta resistencia a la flexibilidad, Mango fabricado en madera.</w:t>
            </w:r>
          </w:p>
        </w:tc>
      </w:tr>
      <w:tr w:rsidR="002201BB" w:rsidRPr="006B4904" w14:paraId="075127EB"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2B9074FD"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5FE4D7C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69373DF7" w14:textId="423DB56D"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Carretilla para carga: Carretilla con concha, llanta neumática reforzada,  Concha de lámina calibre 21 (0.84 mm) y bastidor tubular con calibre 16 (1.5 mm), Soportes de uso pesado,  Rin 3 aspas, Tacón estabilizador.</w:t>
            </w:r>
          </w:p>
        </w:tc>
      </w:tr>
      <w:tr w:rsidR="002201BB" w:rsidRPr="006B4904" w14:paraId="03F5C91A"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4F750729"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4</w:t>
            </w:r>
          </w:p>
        </w:tc>
        <w:tc>
          <w:tcPr>
            <w:tcW w:w="1073" w:type="dxa"/>
            <w:tcBorders>
              <w:top w:val="single" w:sz="4" w:space="0" w:color="auto"/>
              <w:left w:val="nil"/>
              <w:bottom w:val="single" w:sz="4" w:space="0" w:color="auto"/>
              <w:right w:val="single" w:sz="4" w:space="0" w:color="auto"/>
            </w:tcBorders>
            <w:vAlign w:val="center"/>
          </w:tcPr>
          <w:p w14:paraId="57A090D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45E1D6AF" w14:textId="641BA31E"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Impermeable: Conjunto impermeable fabricado de PVC con forro de poliéster.</w:t>
            </w:r>
          </w:p>
        </w:tc>
      </w:tr>
      <w:tr w:rsidR="002201BB" w:rsidRPr="006B4904" w14:paraId="35C88A5B"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7308F8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6CFF513C"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19DC5C2B" w14:textId="533084F2"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Pala de jardinería: Pala con cabeza fabricada en acero al carbono con acabado en pintura híbrida en polvo transparente, Ensamble: Interferencia con aro 1" y remache, Puño "offset" fabricado en polipropileno para mayor comodidad, Ancho de la cabeza 8 1/4'' (20.9cm), calibre de la cabeza 16</w:t>
            </w:r>
          </w:p>
        </w:tc>
      </w:tr>
      <w:tr w:rsidR="002201BB" w:rsidRPr="006B4904" w14:paraId="6E881BE5"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69708964"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1D53B458"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2F3A66D7" w14:textId="06206C54"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Pala de jardinería: Pala cuadrada con mango fabricado en madera de fresno con acabado enlacado, Cabeza #4, 35% más grande que las palas tradicionales, Ensamble: interferencia con aro 1" y remache</w:t>
            </w:r>
            <w:r w:rsidR="00784EB5" w:rsidRPr="006B4904">
              <w:rPr>
                <w:rFonts w:ascii="Arial" w:eastAsia="Times New Roman" w:hAnsi="Arial" w:cs="Arial"/>
                <w:color w:val="000000"/>
              </w:rPr>
              <w:t>.</w:t>
            </w:r>
          </w:p>
        </w:tc>
      </w:tr>
      <w:tr w:rsidR="002201BB" w:rsidRPr="006B4904" w14:paraId="63A63349"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76A31F91"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3</w:t>
            </w:r>
          </w:p>
        </w:tc>
        <w:tc>
          <w:tcPr>
            <w:tcW w:w="1073" w:type="dxa"/>
            <w:tcBorders>
              <w:top w:val="single" w:sz="4" w:space="0" w:color="auto"/>
              <w:left w:val="nil"/>
              <w:bottom w:val="single" w:sz="4" w:space="0" w:color="auto"/>
              <w:right w:val="single" w:sz="4" w:space="0" w:color="auto"/>
            </w:tcBorders>
            <w:vAlign w:val="center"/>
          </w:tcPr>
          <w:p w14:paraId="6AFEF5C9"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52280074" w14:textId="35E54519"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Desbrozadoras 3.6hp -52cc: Tiempos de Motor 2, Peso Total  6.2 Kg, Cilindrada, 52 cc, Tipo de Manubrio Abierto, Accesorios incluidos: Arnés, Carrete de nailon; Capacidad del tanque de combustible: 1.2 L; Sistemas de corte: Disco de 3 puntas, Hilo; Potencia del motor: 3.6 hp</w:t>
            </w:r>
          </w:p>
        </w:tc>
      </w:tr>
      <w:tr w:rsidR="002201BB" w:rsidRPr="006B4904" w14:paraId="612E8CC2"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7A0A6CD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lastRenderedPageBreak/>
              <w:t>1</w:t>
            </w:r>
          </w:p>
        </w:tc>
        <w:tc>
          <w:tcPr>
            <w:tcW w:w="1073" w:type="dxa"/>
            <w:tcBorders>
              <w:top w:val="single" w:sz="4" w:space="0" w:color="auto"/>
              <w:left w:val="nil"/>
              <w:bottom w:val="single" w:sz="4" w:space="0" w:color="auto"/>
              <w:right w:val="single" w:sz="4" w:space="0" w:color="auto"/>
            </w:tcBorders>
            <w:vAlign w:val="center"/>
          </w:tcPr>
          <w:p w14:paraId="7CFEF8A1"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5C95280E" w14:textId="054BE665"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Soplador tipo mochila mínimo en cilindrada 52cc motor 2t: Motor A Gasolina 2t Tipo Mochila, Material: ABS, Metal Rápido: 7500 r/min, Depósito de combustible: 1,5 L.</w:t>
            </w:r>
            <w:r w:rsidR="00784EB5" w:rsidRPr="006B4904">
              <w:rPr>
                <w:rFonts w:ascii="Arial" w:eastAsia="Times New Roman" w:hAnsi="Arial" w:cs="Arial"/>
                <w:color w:val="000000"/>
              </w:rPr>
              <w:t>.</w:t>
            </w:r>
          </w:p>
        </w:tc>
      </w:tr>
      <w:tr w:rsidR="002201BB" w:rsidRPr="006B4904" w14:paraId="60643F01"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51DAC8FD"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515D7BEF"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0A685A7E" w14:textId="4BD2758D"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Cortasetos tipo telescópico profesional 25.4cc 2t: motor 25.4cc, peso:</w:t>
            </w:r>
            <w:r w:rsidRPr="006B4904">
              <w:rPr>
                <w:rFonts w:ascii="Arial" w:eastAsia="Times New Roman" w:hAnsi="Arial" w:cs="Arial"/>
                <w:color w:val="000000"/>
              </w:rPr>
              <w:tab/>
              <w:t xml:space="preserve">7.12Kg, Cuchilla: 46cm, </w:t>
            </w:r>
          </w:p>
        </w:tc>
      </w:tr>
      <w:tr w:rsidR="002201BB" w:rsidRPr="006B4904" w14:paraId="59C0BADC"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0D20227"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13A93E27"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5EC2298C" w14:textId="52089069"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Motosierra Telescópica con motor a gasolina 2 Tiempos. 27cc Corte con cadena 26cm: Fuente de energía Gasolina</w:t>
            </w:r>
            <w:r w:rsidR="00784EB5" w:rsidRPr="006B4904">
              <w:rPr>
                <w:rFonts w:ascii="Arial" w:eastAsia="Times New Roman" w:hAnsi="Arial" w:cs="Arial"/>
                <w:color w:val="000000"/>
              </w:rPr>
              <w:t>.</w:t>
            </w:r>
          </w:p>
        </w:tc>
      </w:tr>
      <w:tr w:rsidR="002201BB" w:rsidRPr="006B4904" w14:paraId="71A62127"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51CD67B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50115AA8"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44CFC42F" w14:textId="7A909C52"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Cortadora de Césped 6HP de 163cc: Potencia 6 hp, Capacidad del tanque de combustible 1 L, Peso 31.1 kg, Cantidad de posiciones de corte 6, Ancho de corte 52 cm, Incluye bolsa rec</w:t>
            </w:r>
            <w:r w:rsidR="00784EB5" w:rsidRPr="006B4904">
              <w:rPr>
                <w:rFonts w:ascii="Arial" w:eastAsia="Times New Roman" w:hAnsi="Arial" w:cs="Arial"/>
                <w:color w:val="000000"/>
              </w:rPr>
              <w:t>olectora.</w:t>
            </w:r>
          </w:p>
        </w:tc>
      </w:tr>
      <w:tr w:rsidR="002201BB" w:rsidRPr="006B4904" w14:paraId="18515654" w14:textId="77777777" w:rsidTr="00784EB5">
        <w:trPr>
          <w:trHeight w:val="54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D52CC75"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3C7A5E93"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3D8AFE7A" w14:textId="0A6841AE"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MINI ESMERILADORA ANGULAR 4 1/2" 840W 10000 RPM: Voltaje: 127V, Apta para un disco de 115 mm de diámetro</w:t>
            </w:r>
            <w:r w:rsidR="00784EB5" w:rsidRPr="006B4904">
              <w:rPr>
                <w:rFonts w:ascii="Arial" w:eastAsia="Times New Roman" w:hAnsi="Arial" w:cs="Arial"/>
                <w:color w:val="000000"/>
              </w:rPr>
              <w:t>.</w:t>
            </w:r>
          </w:p>
        </w:tc>
      </w:tr>
      <w:tr w:rsidR="002201BB" w:rsidRPr="006B4904" w14:paraId="03CA9D5A" w14:textId="77777777" w:rsidTr="00784EB5">
        <w:trPr>
          <w:trHeight w:val="81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3699D5A"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05C62817"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1DFCBC25" w14:textId="3365E716" w:rsidR="002201BB" w:rsidRPr="006B4904" w:rsidRDefault="002201BB" w:rsidP="002201BB">
            <w:pPr>
              <w:spacing w:line="240" w:lineRule="auto"/>
              <w:rPr>
                <w:rFonts w:ascii="Arial" w:eastAsia="Times New Roman" w:hAnsi="Arial" w:cs="Arial"/>
                <w:color w:val="000000"/>
              </w:rPr>
            </w:pPr>
            <w:r w:rsidRPr="006B4904">
              <w:rPr>
                <w:rFonts w:ascii="Arial" w:eastAsia="Times New Roman" w:hAnsi="Arial" w:cs="Arial"/>
                <w:color w:val="000000"/>
              </w:rPr>
              <w:t>ROTOMARTILLO ATORNILLADOR: Voltaje 115V, Potencia 850 W, Velocidad mínima de rotación 600 rpm, Velocidad máxima de rotación 1900 rpm, Ancho 40 cm, Altura 35 cm</w:t>
            </w:r>
            <w:r w:rsidR="00784EB5" w:rsidRPr="006B4904">
              <w:rPr>
                <w:rFonts w:ascii="Arial" w:eastAsia="Times New Roman" w:hAnsi="Arial" w:cs="Arial"/>
                <w:color w:val="000000"/>
              </w:rPr>
              <w:t>.</w:t>
            </w:r>
          </w:p>
        </w:tc>
      </w:tr>
      <w:tr w:rsidR="002201BB" w:rsidRPr="006B4904" w14:paraId="70033A53" w14:textId="77777777" w:rsidTr="00784EB5">
        <w:trPr>
          <w:trHeight w:val="54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F034B3B"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0C69DF7E"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54AF9C12" w14:textId="2F9E419D"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Soldadora Para Electrodo Revestido: Soldadora para electrodo revestido  030-200 a 110/220 v (ca) cables careta cepillo + careta Es ideal para uso doméstico y profesional. Su calidad brinda una fusión precisa. Puede soldar diversos materiales. Aplica calor y proporciona mayor resistencia. Sin picos de voltaje. Esta soldadora de tipo TIG permite un mayor rango</w:t>
            </w:r>
            <w:r w:rsidR="00784EB5" w:rsidRPr="006B4904">
              <w:rPr>
                <w:rFonts w:ascii="Arial" w:eastAsia="Times New Roman" w:hAnsi="Arial" w:cs="Arial"/>
                <w:color w:val="000000"/>
              </w:rPr>
              <w:t>.</w:t>
            </w:r>
          </w:p>
        </w:tc>
      </w:tr>
      <w:tr w:rsidR="002201BB" w:rsidRPr="006B4904" w14:paraId="5F9A3C7B" w14:textId="77777777" w:rsidTr="00784EB5">
        <w:trPr>
          <w:trHeight w:val="54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46E16F8C"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3</w:t>
            </w:r>
          </w:p>
        </w:tc>
        <w:tc>
          <w:tcPr>
            <w:tcW w:w="1073" w:type="dxa"/>
            <w:tcBorders>
              <w:top w:val="single" w:sz="4" w:space="0" w:color="auto"/>
              <w:left w:val="nil"/>
              <w:bottom w:val="single" w:sz="4" w:space="0" w:color="auto"/>
              <w:right w:val="single" w:sz="4" w:space="0" w:color="auto"/>
            </w:tcBorders>
            <w:vAlign w:val="center"/>
          </w:tcPr>
          <w:p w14:paraId="51812F31"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63FC42C4" w14:textId="6547FE3F"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Mandil De Carnaza Para Soldar: Talla: Unitalla, Medidas: 76 x 49 cm, Composición: 100% de carnaza de res curtida al cromo con doble engrase.</w:t>
            </w:r>
          </w:p>
        </w:tc>
      </w:tr>
      <w:tr w:rsidR="002201BB" w:rsidRPr="006B4904" w14:paraId="69CB682B"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3B0F2E60"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2</w:t>
            </w:r>
          </w:p>
        </w:tc>
        <w:tc>
          <w:tcPr>
            <w:tcW w:w="1073" w:type="dxa"/>
            <w:tcBorders>
              <w:top w:val="single" w:sz="4" w:space="0" w:color="auto"/>
              <w:left w:val="nil"/>
              <w:bottom w:val="single" w:sz="4" w:space="0" w:color="auto"/>
              <w:right w:val="single" w:sz="4" w:space="0" w:color="auto"/>
            </w:tcBorders>
            <w:vAlign w:val="center"/>
          </w:tcPr>
          <w:p w14:paraId="5072DDBC"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61B14C5D" w14:textId="10078BB2"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Protector Facial Transparente Con Matraca: Color Negro y transparente, Material Policarbonato, Altura x Ancho 12 " x 8 ", Espesor 0.6 ", Con arnés Sí</w:t>
            </w:r>
          </w:p>
        </w:tc>
      </w:tr>
      <w:tr w:rsidR="002201BB" w:rsidRPr="006B4904" w14:paraId="3AA240DF" w14:textId="77777777" w:rsidTr="00784EB5">
        <w:trPr>
          <w:trHeight w:val="30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3B683866"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284887C8"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noWrap/>
            <w:vAlign w:val="center"/>
            <w:hideMark/>
          </w:tcPr>
          <w:p w14:paraId="018DDEA0" w14:textId="1463E77F"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Careta electrónica de oscurecimiento automático profesional, para soldar: Control de sensibilidad y retardo en panel de perillas, Fabricada en polipropileno, Perilla externa para fácil ajuste de sombra</w:t>
            </w:r>
            <w:r w:rsidR="00784EB5" w:rsidRPr="006B4904">
              <w:rPr>
                <w:rFonts w:ascii="Arial" w:eastAsia="Times New Roman" w:hAnsi="Arial" w:cs="Arial"/>
                <w:color w:val="000000"/>
              </w:rPr>
              <w:t>.</w:t>
            </w:r>
          </w:p>
        </w:tc>
      </w:tr>
      <w:tr w:rsidR="002201BB" w:rsidRPr="006B4904" w14:paraId="6DC07C72" w14:textId="77777777" w:rsidTr="00784EB5">
        <w:trPr>
          <w:trHeight w:val="54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7D9F6CF2"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4</w:t>
            </w:r>
          </w:p>
        </w:tc>
        <w:tc>
          <w:tcPr>
            <w:tcW w:w="1073" w:type="dxa"/>
            <w:tcBorders>
              <w:top w:val="single" w:sz="4" w:space="0" w:color="auto"/>
              <w:left w:val="nil"/>
              <w:bottom w:val="single" w:sz="4" w:space="0" w:color="auto"/>
              <w:right w:val="single" w:sz="4" w:space="0" w:color="auto"/>
            </w:tcBorders>
            <w:vAlign w:val="center"/>
          </w:tcPr>
          <w:p w14:paraId="68238596"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35C8A721" w14:textId="5BFFA83C"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FUMIGADOR MANUAL DE MOCHILA 20 L: Fumigadora de mochila con boca ancha, lanza de acero inoxidable, manguera de PVC y tanque traslúcido de polietileno de alta densidad que permite ver el nivel del líquido</w:t>
            </w:r>
            <w:r w:rsidR="00784EB5" w:rsidRPr="006B4904">
              <w:rPr>
                <w:rFonts w:ascii="Arial" w:eastAsia="Times New Roman" w:hAnsi="Arial" w:cs="Arial"/>
                <w:color w:val="000000"/>
              </w:rPr>
              <w:t>.</w:t>
            </w:r>
          </w:p>
        </w:tc>
      </w:tr>
      <w:tr w:rsidR="002201BB" w:rsidRPr="006B4904" w14:paraId="2E2A2058" w14:textId="77777777" w:rsidTr="00784EB5">
        <w:trPr>
          <w:trHeight w:val="540"/>
        </w:trPr>
        <w:tc>
          <w:tcPr>
            <w:tcW w:w="1185" w:type="dxa"/>
            <w:tcBorders>
              <w:top w:val="nil"/>
              <w:left w:val="single" w:sz="8" w:space="0" w:color="auto"/>
              <w:bottom w:val="single" w:sz="4" w:space="0" w:color="auto"/>
              <w:right w:val="single" w:sz="4" w:space="0" w:color="auto"/>
            </w:tcBorders>
            <w:shd w:val="clear" w:color="000000" w:fill="FFC000"/>
            <w:noWrap/>
            <w:vAlign w:val="center"/>
            <w:hideMark/>
          </w:tcPr>
          <w:p w14:paraId="0C730AFE"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73" w:type="dxa"/>
            <w:tcBorders>
              <w:top w:val="single" w:sz="4" w:space="0" w:color="auto"/>
              <w:left w:val="nil"/>
              <w:bottom w:val="single" w:sz="4" w:space="0" w:color="auto"/>
              <w:right w:val="single" w:sz="4" w:space="0" w:color="auto"/>
            </w:tcBorders>
            <w:vAlign w:val="center"/>
          </w:tcPr>
          <w:p w14:paraId="34796334" w14:textId="77777777" w:rsidR="002201BB" w:rsidRPr="006B4904" w:rsidRDefault="002201BB" w:rsidP="002201BB">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2FDF8CD2" w14:textId="08F1A5A9" w:rsidR="002201BB" w:rsidRPr="006B4904" w:rsidRDefault="002201BB" w:rsidP="002201BB">
            <w:pPr>
              <w:spacing w:line="240" w:lineRule="auto"/>
              <w:rPr>
                <w:rFonts w:ascii="Arial" w:eastAsia="Times New Roman" w:hAnsi="Arial" w:cs="Arial"/>
                <w:lang w:eastAsia="es-ES"/>
              </w:rPr>
            </w:pPr>
            <w:r w:rsidRPr="006B4904">
              <w:rPr>
                <w:rFonts w:ascii="Arial" w:eastAsia="Times New Roman" w:hAnsi="Arial" w:cs="Arial"/>
                <w:color w:val="000000"/>
              </w:rPr>
              <w:t>PISTOLA ELÉCTRICA PARA PINTAR 600W: Voltaje: 127V, Frecuencia: 60Hz, Sistema de pulverización de la pistola: HVLP, Tipo de pintura aceptado: base de agua, Volumen del tanque: 900mL</w:t>
            </w:r>
            <w:r w:rsidR="00784EB5" w:rsidRPr="006B4904">
              <w:rPr>
                <w:rFonts w:ascii="Arial" w:eastAsia="Times New Roman" w:hAnsi="Arial" w:cs="Arial"/>
                <w:color w:val="000000"/>
              </w:rPr>
              <w:t>.</w:t>
            </w:r>
          </w:p>
        </w:tc>
      </w:tr>
    </w:tbl>
    <w:p w14:paraId="21279175" w14:textId="77777777" w:rsidR="00263EEE" w:rsidRPr="006B4904" w:rsidRDefault="00263EEE" w:rsidP="00263EEE">
      <w:pPr>
        <w:spacing w:line="240" w:lineRule="auto"/>
        <w:rPr>
          <w:rFonts w:ascii="Arial" w:eastAsia="Times New Roman" w:hAnsi="Arial" w:cs="Arial"/>
          <w:lang w:eastAsia="es-ES"/>
        </w:rPr>
      </w:pPr>
    </w:p>
    <w:p w14:paraId="060405E8" w14:textId="3AD84A80"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Las herramientas y maquinaria deberán de ser remplazadas inmediatamente en caso de avería</w:t>
      </w:r>
      <w:r w:rsidR="00784EB5" w:rsidRPr="006B4904">
        <w:rPr>
          <w:rFonts w:ascii="Arial" w:eastAsia="Times New Roman" w:hAnsi="Arial" w:cs="Arial"/>
          <w:lang w:eastAsia="es-ES"/>
        </w:rPr>
        <w:t xml:space="preserve">, robo </w:t>
      </w:r>
      <w:r w:rsidRPr="006B4904">
        <w:rPr>
          <w:rFonts w:ascii="Arial" w:eastAsia="Times New Roman" w:hAnsi="Arial" w:cs="Arial"/>
          <w:lang w:eastAsia="es-ES"/>
        </w:rPr>
        <w:t>o extravío.</w:t>
      </w:r>
    </w:p>
    <w:p w14:paraId="636344EF" w14:textId="77777777" w:rsidR="00263EEE" w:rsidRPr="006B4904" w:rsidRDefault="00263EEE" w:rsidP="00263EEE">
      <w:pPr>
        <w:spacing w:line="240" w:lineRule="auto"/>
        <w:rPr>
          <w:rFonts w:ascii="Arial" w:eastAsia="Times New Roman" w:hAnsi="Arial" w:cs="Arial"/>
          <w:lang w:eastAsia="es-ES"/>
        </w:rPr>
      </w:pPr>
    </w:p>
    <w:p w14:paraId="4636CEC5" w14:textId="77777777" w:rsidR="00263EEE" w:rsidRPr="006B4904" w:rsidRDefault="00263EEE" w:rsidP="00263EEE">
      <w:pPr>
        <w:spacing w:line="240" w:lineRule="auto"/>
        <w:rPr>
          <w:rFonts w:ascii="Arial" w:eastAsia="Times New Roman" w:hAnsi="Arial" w:cs="Arial"/>
          <w:lang w:eastAsia="es-ES"/>
        </w:rPr>
      </w:pPr>
    </w:p>
    <w:p w14:paraId="3FA73D33" w14:textId="77777777" w:rsidR="00263EEE" w:rsidRPr="006B4904" w:rsidRDefault="00263EEE" w:rsidP="00263EEE">
      <w:pPr>
        <w:numPr>
          <w:ilvl w:val="0"/>
          <w:numId w:val="10"/>
        </w:numPr>
        <w:spacing w:line="240" w:lineRule="auto"/>
        <w:rPr>
          <w:rFonts w:ascii="Arial" w:eastAsia="Times New Roman" w:hAnsi="Arial" w:cs="Arial"/>
          <w:lang w:eastAsia="es-ES"/>
        </w:rPr>
      </w:pPr>
      <w:r w:rsidRPr="006B4904">
        <w:rPr>
          <w:rFonts w:ascii="Arial" w:eastAsia="Times New Roman" w:hAnsi="Arial" w:cs="Arial"/>
          <w:lang w:eastAsia="es-ES"/>
        </w:rPr>
        <w:t>Consumibles</w:t>
      </w:r>
    </w:p>
    <w:p w14:paraId="1DBB4907" w14:textId="77777777" w:rsidR="00784EB5" w:rsidRPr="006B4904" w:rsidRDefault="00784EB5" w:rsidP="00784EB5">
      <w:pPr>
        <w:spacing w:line="240" w:lineRule="auto"/>
        <w:ind w:left="360"/>
        <w:rPr>
          <w:rFonts w:ascii="Arial" w:eastAsia="Times New Roman" w:hAnsi="Arial" w:cs="Arial"/>
          <w:lang w:eastAsia="es-ES"/>
        </w:rPr>
      </w:pPr>
    </w:p>
    <w:p w14:paraId="0DE39B02"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lastRenderedPageBreak/>
        <w:t xml:space="preserve">El proveedor adjudicado deberá de suministrar diariamente para cada servicio, los consumibles siguientes y estos deberán de ser suficientes para satisfacer el servicio por día a prestar que como mínimo deberán ser: </w:t>
      </w:r>
    </w:p>
    <w:p w14:paraId="4FE12CC3" w14:textId="77777777" w:rsidR="00263EEE" w:rsidRPr="006B4904" w:rsidRDefault="00263EEE" w:rsidP="00263EEE">
      <w:pPr>
        <w:spacing w:line="240" w:lineRule="auto"/>
        <w:rPr>
          <w:rFonts w:ascii="Arial" w:eastAsia="Times New Roman" w:hAnsi="Arial" w:cs="Arial"/>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7"/>
        <w:gridCol w:w="1096"/>
        <w:gridCol w:w="7371"/>
      </w:tblGrid>
      <w:tr w:rsidR="00263EEE" w:rsidRPr="006B4904" w14:paraId="349BF4A2" w14:textId="77777777" w:rsidTr="00784EB5">
        <w:trPr>
          <w:trHeight w:val="1080"/>
        </w:trPr>
        <w:tc>
          <w:tcPr>
            <w:tcW w:w="1167" w:type="dxa"/>
            <w:shd w:val="clear" w:color="auto" w:fill="A6A6A6" w:themeFill="background1" w:themeFillShade="A6"/>
            <w:noWrap/>
            <w:vAlign w:val="center"/>
          </w:tcPr>
          <w:p w14:paraId="6FBE4828"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Cantidad</w:t>
            </w:r>
          </w:p>
        </w:tc>
        <w:tc>
          <w:tcPr>
            <w:tcW w:w="1096" w:type="dxa"/>
            <w:shd w:val="clear" w:color="auto" w:fill="A6A6A6" w:themeFill="background1" w:themeFillShade="A6"/>
            <w:vAlign w:val="center"/>
          </w:tcPr>
          <w:p w14:paraId="71E31BB7"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U. Medida</w:t>
            </w:r>
          </w:p>
        </w:tc>
        <w:tc>
          <w:tcPr>
            <w:tcW w:w="7371" w:type="dxa"/>
            <w:shd w:val="clear" w:color="auto" w:fill="A6A6A6" w:themeFill="background1" w:themeFillShade="A6"/>
            <w:vAlign w:val="center"/>
          </w:tcPr>
          <w:p w14:paraId="30AB3EFB"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Descripción y Detalle</w:t>
            </w:r>
          </w:p>
        </w:tc>
      </w:tr>
      <w:tr w:rsidR="00263EEE" w:rsidRPr="006B4904" w14:paraId="23DD1145" w14:textId="77777777" w:rsidTr="00784EB5">
        <w:trPr>
          <w:trHeight w:val="1080"/>
        </w:trPr>
        <w:tc>
          <w:tcPr>
            <w:tcW w:w="1167" w:type="dxa"/>
            <w:shd w:val="clear" w:color="000000" w:fill="FFC000"/>
            <w:noWrap/>
            <w:vAlign w:val="center"/>
          </w:tcPr>
          <w:p w14:paraId="5E04AF56"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10</w:t>
            </w:r>
          </w:p>
        </w:tc>
        <w:tc>
          <w:tcPr>
            <w:tcW w:w="1096" w:type="dxa"/>
            <w:vAlign w:val="center"/>
          </w:tcPr>
          <w:p w14:paraId="74C750D4"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Litro</w:t>
            </w:r>
          </w:p>
        </w:tc>
        <w:tc>
          <w:tcPr>
            <w:tcW w:w="7371" w:type="dxa"/>
            <w:shd w:val="clear" w:color="auto" w:fill="auto"/>
            <w:vAlign w:val="center"/>
          </w:tcPr>
          <w:p w14:paraId="1D74C603" w14:textId="784891F8" w:rsidR="00263EEE" w:rsidRPr="006B4904" w:rsidRDefault="00784EB5" w:rsidP="00263EEE">
            <w:pPr>
              <w:spacing w:line="240" w:lineRule="auto"/>
              <w:rPr>
                <w:rFonts w:ascii="Arial" w:eastAsia="Times New Roman" w:hAnsi="Arial" w:cs="Arial"/>
                <w:lang w:eastAsia="es-ES"/>
              </w:rPr>
            </w:pPr>
            <w:r w:rsidRPr="006B4904">
              <w:rPr>
                <w:rFonts w:ascii="Arial" w:eastAsia="Times New Roman" w:hAnsi="Arial" w:cs="Arial"/>
                <w:color w:val="000000"/>
              </w:rPr>
              <w:t>Líquido para Fumigar: Herbicida sistémico, no selectivo, no residual, de amplio espectro presentado en forma de solución acuosa. Se aplica en postemergencia a la maleza, preferentemente cuando la hierba esté creciendo activamente. Actúa por traslocación a través del follaje obteniéndose resultados a los 3-7 días después de su aplicación. Al ser un producto sistémico de absorción foliar y no residual: los tratamientos de pre-siembra y de pre-emergencia no afectan al cultivo ni a cultivos posteriores. Cuando se aplica en port-emergencia del cultivo se debe evitar que el herbicida lo alcance: utilice campana protectora en aquellos cultivos en que esté autorizado su empleo. Resulta efectivo en el control de las malezas.</w:t>
            </w:r>
          </w:p>
        </w:tc>
      </w:tr>
      <w:tr w:rsidR="00263EEE" w:rsidRPr="006B4904" w14:paraId="2A164BCA" w14:textId="77777777" w:rsidTr="00784EB5">
        <w:trPr>
          <w:trHeight w:val="300"/>
        </w:trPr>
        <w:tc>
          <w:tcPr>
            <w:tcW w:w="1167" w:type="dxa"/>
            <w:shd w:val="clear" w:color="000000" w:fill="FFC000"/>
            <w:noWrap/>
            <w:vAlign w:val="center"/>
            <w:hideMark/>
          </w:tcPr>
          <w:p w14:paraId="72EC5609"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20</w:t>
            </w:r>
          </w:p>
        </w:tc>
        <w:tc>
          <w:tcPr>
            <w:tcW w:w="1096" w:type="dxa"/>
            <w:vAlign w:val="center"/>
          </w:tcPr>
          <w:p w14:paraId="6FAD8C88"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Litro</w:t>
            </w:r>
          </w:p>
        </w:tc>
        <w:tc>
          <w:tcPr>
            <w:tcW w:w="7371" w:type="dxa"/>
            <w:shd w:val="clear" w:color="auto" w:fill="auto"/>
            <w:noWrap/>
            <w:vAlign w:val="center"/>
            <w:hideMark/>
          </w:tcPr>
          <w:p w14:paraId="6FF52195"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De Gasolina para Desbrozadora</w:t>
            </w:r>
          </w:p>
        </w:tc>
      </w:tr>
      <w:tr w:rsidR="00784EB5" w:rsidRPr="006B4904" w14:paraId="5D33F6FD" w14:textId="77777777" w:rsidTr="00493D76">
        <w:trPr>
          <w:trHeight w:val="300"/>
        </w:trPr>
        <w:tc>
          <w:tcPr>
            <w:tcW w:w="1167" w:type="dxa"/>
            <w:shd w:val="clear" w:color="000000" w:fill="FFC000"/>
            <w:noWrap/>
            <w:vAlign w:val="center"/>
            <w:hideMark/>
          </w:tcPr>
          <w:p w14:paraId="34664532" w14:textId="77777777" w:rsidR="00784EB5" w:rsidRPr="006B4904" w:rsidRDefault="00784EB5" w:rsidP="00784EB5">
            <w:pPr>
              <w:spacing w:line="240" w:lineRule="auto"/>
              <w:jc w:val="center"/>
              <w:rPr>
                <w:rFonts w:ascii="Arial" w:eastAsia="Times New Roman" w:hAnsi="Arial" w:cs="Arial"/>
                <w:lang w:eastAsia="es-ES"/>
              </w:rPr>
            </w:pPr>
            <w:r w:rsidRPr="006B4904">
              <w:rPr>
                <w:rFonts w:ascii="Arial" w:eastAsia="Times New Roman" w:hAnsi="Arial" w:cs="Arial"/>
                <w:lang w:eastAsia="es-ES"/>
              </w:rPr>
              <w:t>6</w:t>
            </w:r>
          </w:p>
        </w:tc>
        <w:tc>
          <w:tcPr>
            <w:tcW w:w="1096" w:type="dxa"/>
            <w:vAlign w:val="center"/>
          </w:tcPr>
          <w:p w14:paraId="52796D93" w14:textId="77777777" w:rsidR="00784EB5" w:rsidRPr="006B4904" w:rsidRDefault="00784EB5" w:rsidP="00784EB5">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176D7526" w14:textId="5DB2FAC6" w:rsidR="00784EB5" w:rsidRPr="006B4904" w:rsidRDefault="00784EB5" w:rsidP="00784EB5">
            <w:pPr>
              <w:spacing w:line="240" w:lineRule="auto"/>
              <w:rPr>
                <w:rFonts w:ascii="Arial" w:eastAsia="Times New Roman" w:hAnsi="Arial" w:cs="Arial"/>
                <w:lang w:eastAsia="es-ES"/>
              </w:rPr>
            </w:pPr>
            <w:r w:rsidRPr="006B4904">
              <w:rPr>
                <w:rFonts w:ascii="Arial" w:eastAsia="Times New Roman" w:hAnsi="Arial" w:cs="Arial"/>
                <w:color w:val="000000"/>
              </w:rPr>
              <w:t>ACEITE DE PARA 2 TIEMPOS de 400 ML: Aceite sintético que prolonga la vida del motor hasta 80%, Máximo desempeño, mayor ahorro de combustible, baja emisión de humo, estabilidad térmica, La mezcla almacenada dura 5 veces más que los aceites minerales, Índice de viscosidad mayor a 140, Para mezclas: 50:1, 40:1, 32:1 y 16:1</w:t>
            </w:r>
          </w:p>
        </w:tc>
      </w:tr>
      <w:tr w:rsidR="00784EB5" w:rsidRPr="006B4904" w14:paraId="0C75E2C5" w14:textId="77777777" w:rsidTr="00493D76">
        <w:trPr>
          <w:trHeight w:val="300"/>
        </w:trPr>
        <w:tc>
          <w:tcPr>
            <w:tcW w:w="1167" w:type="dxa"/>
            <w:shd w:val="clear" w:color="000000" w:fill="FFC000"/>
            <w:noWrap/>
            <w:vAlign w:val="center"/>
            <w:hideMark/>
          </w:tcPr>
          <w:p w14:paraId="2D972CFD" w14:textId="77777777" w:rsidR="00784EB5" w:rsidRPr="006B4904" w:rsidRDefault="00784EB5" w:rsidP="00784EB5">
            <w:pPr>
              <w:spacing w:line="240" w:lineRule="auto"/>
              <w:jc w:val="center"/>
              <w:rPr>
                <w:rFonts w:ascii="Arial" w:eastAsia="Times New Roman" w:hAnsi="Arial" w:cs="Arial"/>
                <w:lang w:eastAsia="es-ES"/>
              </w:rPr>
            </w:pPr>
            <w:r w:rsidRPr="006B4904">
              <w:rPr>
                <w:rFonts w:ascii="Arial" w:eastAsia="Times New Roman" w:hAnsi="Arial" w:cs="Arial"/>
                <w:lang w:eastAsia="es-ES"/>
              </w:rPr>
              <w:t>6</w:t>
            </w:r>
          </w:p>
        </w:tc>
        <w:tc>
          <w:tcPr>
            <w:tcW w:w="1096" w:type="dxa"/>
            <w:vAlign w:val="center"/>
          </w:tcPr>
          <w:p w14:paraId="1BA5C107" w14:textId="77777777" w:rsidR="00784EB5" w:rsidRPr="006B4904" w:rsidRDefault="00784EB5" w:rsidP="00784EB5">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tcBorders>
              <w:top w:val="nil"/>
              <w:left w:val="nil"/>
              <w:bottom w:val="single" w:sz="4" w:space="0" w:color="auto"/>
              <w:right w:val="single" w:sz="4" w:space="0" w:color="auto"/>
            </w:tcBorders>
            <w:vAlign w:val="center"/>
            <w:hideMark/>
          </w:tcPr>
          <w:p w14:paraId="40EAD839" w14:textId="084F9A3E" w:rsidR="00784EB5" w:rsidRPr="006B4904" w:rsidRDefault="00784EB5" w:rsidP="00784EB5">
            <w:pPr>
              <w:spacing w:line="240" w:lineRule="auto"/>
              <w:rPr>
                <w:rFonts w:ascii="Arial" w:eastAsia="Times New Roman" w:hAnsi="Arial" w:cs="Arial"/>
                <w:lang w:eastAsia="es-ES"/>
              </w:rPr>
            </w:pPr>
            <w:r w:rsidRPr="006B4904">
              <w:rPr>
                <w:rFonts w:ascii="Arial" w:eastAsia="Times New Roman" w:hAnsi="Arial" w:cs="Arial"/>
                <w:color w:val="000000"/>
              </w:rPr>
              <w:t>HILO REDONDO PARA DESBROZADORA: Fabricado en nylon, Alto desempeño, Cortes más limpios sin arrancar el césped, Hilo redondo, Diámetro 2.4 mm x 437 m</w:t>
            </w:r>
          </w:p>
        </w:tc>
      </w:tr>
      <w:tr w:rsidR="00263EEE" w:rsidRPr="006B4904" w14:paraId="55EF849F" w14:textId="77777777" w:rsidTr="00784EB5">
        <w:trPr>
          <w:trHeight w:val="300"/>
        </w:trPr>
        <w:tc>
          <w:tcPr>
            <w:tcW w:w="1167" w:type="dxa"/>
            <w:shd w:val="clear" w:color="000000" w:fill="FFC000"/>
            <w:noWrap/>
            <w:vAlign w:val="center"/>
            <w:hideMark/>
          </w:tcPr>
          <w:p w14:paraId="21894DC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5</w:t>
            </w:r>
          </w:p>
        </w:tc>
        <w:tc>
          <w:tcPr>
            <w:tcW w:w="1096" w:type="dxa"/>
            <w:vAlign w:val="center"/>
          </w:tcPr>
          <w:p w14:paraId="2B7A67B9"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Pieza</w:t>
            </w:r>
          </w:p>
        </w:tc>
        <w:tc>
          <w:tcPr>
            <w:tcW w:w="7371" w:type="dxa"/>
            <w:shd w:val="clear" w:color="auto" w:fill="auto"/>
            <w:vAlign w:val="center"/>
            <w:hideMark/>
          </w:tcPr>
          <w:p w14:paraId="11E9EB2B"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Escobas de casa/ mango de madera /cepillo suave </w:t>
            </w:r>
          </w:p>
        </w:tc>
      </w:tr>
      <w:tr w:rsidR="00263EEE" w:rsidRPr="006B4904" w14:paraId="3D0B19B1" w14:textId="77777777" w:rsidTr="00784EB5">
        <w:trPr>
          <w:trHeight w:val="300"/>
        </w:trPr>
        <w:tc>
          <w:tcPr>
            <w:tcW w:w="1167" w:type="dxa"/>
            <w:shd w:val="clear" w:color="000000" w:fill="FFC000"/>
            <w:noWrap/>
            <w:vAlign w:val="center"/>
            <w:hideMark/>
          </w:tcPr>
          <w:p w14:paraId="60BFA3D9"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3</w:t>
            </w:r>
          </w:p>
        </w:tc>
        <w:tc>
          <w:tcPr>
            <w:tcW w:w="1096" w:type="dxa"/>
            <w:vAlign w:val="center"/>
          </w:tcPr>
          <w:p w14:paraId="32FD9EB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Bolsa</w:t>
            </w:r>
          </w:p>
        </w:tc>
        <w:tc>
          <w:tcPr>
            <w:tcW w:w="7371" w:type="dxa"/>
            <w:shd w:val="clear" w:color="auto" w:fill="auto"/>
            <w:noWrap/>
            <w:vAlign w:val="center"/>
            <w:hideMark/>
          </w:tcPr>
          <w:p w14:paraId="46BF8982"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Estopa 1 kg color Crema</w:t>
            </w:r>
          </w:p>
        </w:tc>
      </w:tr>
      <w:tr w:rsidR="00263EEE" w:rsidRPr="006B4904" w14:paraId="2F5D38BC" w14:textId="77777777" w:rsidTr="00784EB5">
        <w:trPr>
          <w:trHeight w:val="300"/>
        </w:trPr>
        <w:tc>
          <w:tcPr>
            <w:tcW w:w="1167" w:type="dxa"/>
            <w:shd w:val="clear" w:color="000000" w:fill="FFC000"/>
            <w:noWrap/>
            <w:vAlign w:val="center"/>
            <w:hideMark/>
          </w:tcPr>
          <w:p w14:paraId="6DE5707E"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10</w:t>
            </w:r>
          </w:p>
        </w:tc>
        <w:tc>
          <w:tcPr>
            <w:tcW w:w="1096" w:type="dxa"/>
            <w:vAlign w:val="center"/>
          </w:tcPr>
          <w:p w14:paraId="16197FC5"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Litro</w:t>
            </w:r>
          </w:p>
        </w:tc>
        <w:tc>
          <w:tcPr>
            <w:tcW w:w="7371" w:type="dxa"/>
            <w:shd w:val="clear" w:color="auto" w:fill="auto"/>
            <w:noWrap/>
            <w:vAlign w:val="center"/>
            <w:hideMark/>
          </w:tcPr>
          <w:p w14:paraId="6B4774EB"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Tinner  volátil e inflamable</w:t>
            </w:r>
          </w:p>
        </w:tc>
      </w:tr>
      <w:tr w:rsidR="00263EEE" w:rsidRPr="006B4904" w14:paraId="5BB5A488" w14:textId="77777777" w:rsidTr="00784EB5">
        <w:trPr>
          <w:trHeight w:val="540"/>
        </w:trPr>
        <w:tc>
          <w:tcPr>
            <w:tcW w:w="1167" w:type="dxa"/>
            <w:shd w:val="clear" w:color="000000" w:fill="FFC000"/>
            <w:noWrap/>
            <w:vAlign w:val="center"/>
            <w:hideMark/>
          </w:tcPr>
          <w:p w14:paraId="2656445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568962E0"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6FA302F7" w14:textId="75DCFBD0"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Epoxica 19 Litros color Naranja (rojo teja)</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758255BA" w14:textId="77777777" w:rsidTr="00784EB5">
        <w:trPr>
          <w:trHeight w:val="540"/>
        </w:trPr>
        <w:tc>
          <w:tcPr>
            <w:tcW w:w="1167" w:type="dxa"/>
            <w:shd w:val="clear" w:color="000000" w:fill="FFC000"/>
            <w:noWrap/>
            <w:vAlign w:val="center"/>
            <w:hideMark/>
          </w:tcPr>
          <w:p w14:paraId="6275D756"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5DD2E797"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7F0B7487" w14:textId="43198EE3"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Epoxica 19 Litros color Gris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w:t>
            </w:r>
            <w:r w:rsidR="00784EB5" w:rsidRPr="006B4904">
              <w:rPr>
                <w:rFonts w:ascii="Arial" w:eastAsia="Times New Roman" w:hAnsi="Arial" w:cs="Arial"/>
                <w:color w:val="000000"/>
              </w:rPr>
              <w:lastRenderedPageBreak/>
              <w:t>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17F1FC50" w14:textId="77777777" w:rsidTr="00784EB5">
        <w:trPr>
          <w:trHeight w:val="540"/>
        </w:trPr>
        <w:tc>
          <w:tcPr>
            <w:tcW w:w="1167" w:type="dxa"/>
            <w:shd w:val="clear" w:color="000000" w:fill="FFC000"/>
            <w:noWrap/>
            <w:vAlign w:val="center"/>
            <w:hideMark/>
          </w:tcPr>
          <w:p w14:paraId="241FB5FC"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lastRenderedPageBreak/>
              <w:t>1</w:t>
            </w:r>
          </w:p>
        </w:tc>
        <w:tc>
          <w:tcPr>
            <w:tcW w:w="1096" w:type="dxa"/>
            <w:vAlign w:val="center"/>
          </w:tcPr>
          <w:p w14:paraId="6F95504C"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4E3665F3" w14:textId="70B17238"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Epoxica 19 Litros color Blanca</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058D419E" w14:textId="77777777" w:rsidTr="00784EB5">
        <w:trPr>
          <w:trHeight w:val="540"/>
        </w:trPr>
        <w:tc>
          <w:tcPr>
            <w:tcW w:w="1167" w:type="dxa"/>
            <w:shd w:val="clear" w:color="000000" w:fill="FFC000"/>
            <w:noWrap/>
            <w:vAlign w:val="center"/>
            <w:hideMark/>
          </w:tcPr>
          <w:p w14:paraId="39694528"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168EDCEF"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01BE88A8" w14:textId="26A9604C"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de Trafico color Azul 19 Litros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50F3F411" w14:textId="77777777" w:rsidTr="00784EB5">
        <w:trPr>
          <w:trHeight w:val="540"/>
        </w:trPr>
        <w:tc>
          <w:tcPr>
            <w:tcW w:w="1167" w:type="dxa"/>
            <w:shd w:val="clear" w:color="000000" w:fill="FFC000"/>
            <w:noWrap/>
            <w:vAlign w:val="center"/>
            <w:hideMark/>
          </w:tcPr>
          <w:p w14:paraId="171B00C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01FA7E00"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01C07FD0" w14:textId="128EB9AF"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de Trafico color Blanca 19 Litros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753482F2" w14:textId="77777777" w:rsidTr="00784EB5">
        <w:trPr>
          <w:trHeight w:val="540"/>
        </w:trPr>
        <w:tc>
          <w:tcPr>
            <w:tcW w:w="1167" w:type="dxa"/>
            <w:shd w:val="clear" w:color="000000" w:fill="FFC000"/>
            <w:noWrap/>
            <w:vAlign w:val="center"/>
            <w:hideMark/>
          </w:tcPr>
          <w:p w14:paraId="39E70A6C"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6F87AE71"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433C23C1" w14:textId="3AE4D1C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de Trafico color Amarillo 19 Litros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w:t>
            </w:r>
            <w:r w:rsidR="00784EB5" w:rsidRPr="006B4904">
              <w:rPr>
                <w:rFonts w:ascii="Arial" w:eastAsia="Times New Roman" w:hAnsi="Arial" w:cs="Arial"/>
                <w:color w:val="000000"/>
              </w:rPr>
              <w:lastRenderedPageBreak/>
              <w:t>de superficie Concreto, Uso Entintable, Viscosidad 80 - 90 ku, Viscosidad 80 - 90 cps.</w:t>
            </w:r>
          </w:p>
        </w:tc>
      </w:tr>
      <w:tr w:rsidR="00263EEE" w:rsidRPr="006B4904" w14:paraId="55C77F12" w14:textId="77777777" w:rsidTr="00784EB5">
        <w:trPr>
          <w:trHeight w:val="540"/>
        </w:trPr>
        <w:tc>
          <w:tcPr>
            <w:tcW w:w="1167" w:type="dxa"/>
            <w:shd w:val="clear" w:color="000000" w:fill="FFC000"/>
            <w:noWrap/>
            <w:vAlign w:val="center"/>
            <w:hideMark/>
          </w:tcPr>
          <w:p w14:paraId="7A9063F7"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lastRenderedPageBreak/>
              <w:t>1</w:t>
            </w:r>
          </w:p>
        </w:tc>
        <w:tc>
          <w:tcPr>
            <w:tcW w:w="1096" w:type="dxa"/>
            <w:vAlign w:val="center"/>
          </w:tcPr>
          <w:p w14:paraId="1057E3DC"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16CD1C68" w14:textId="69A523CE"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de Trafico color Verde 19 Litros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45E6CCEB" w14:textId="77777777" w:rsidTr="00784EB5">
        <w:trPr>
          <w:trHeight w:val="300"/>
        </w:trPr>
        <w:tc>
          <w:tcPr>
            <w:tcW w:w="1167" w:type="dxa"/>
            <w:shd w:val="clear" w:color="000000" w:fill="FFC000"/>
            <w:noWrap/>
            <w:vAlign w:val="center"/>
            <w:hideMark/>
          </w:tcPr>
          <w:p w14:paraId="6162C5B4"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2547875F"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44212074" w14:textId="7F5B94B0"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Pintura 19 Litros Esmalte color Gris </w:t>
            </w:r>
            <w:r w:rsidR="00784EB5" w:rsidRPr="006B4904">
              <w:rPr>
                <w:rFonts w:ascii="Arial" w:eastAsia="Times New Roman" w:hAnsi="Arial" w:cs="Arial"/>
                <w:color w:val="000000"/>
              </w:rPr>
              <w:t>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64E6CA72" w14:textId="77777777" w:rsidTr="00784EB5">
        <w:trPr>
          <w:trHeight w:val="300"/>
        </w:trPr>
        <w:tc>
          <w:tcPr>
            <w:tcW w:w="1167" w:type="dxa"/>
            <w:shd w:val="clear" w:color="000000" w:fill="FFC000"/>
            <w:noWrap/>
            <w:vAlign w:val="center"/>
            <w:hideMark/>
          </w:tcPr>
          <w:p w14:paraId="425037DA"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1A7B6FE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0C81A6C0" w14:textId="776411A1"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Pintura 19 Litros Esmalte color Naranja </w:t>
            </w:r>
            <w:r w:rsidR="00784EB5" w:rsidRPr="006B4904">
              <w:rPr>
                <w:rFonts w:ascii="Arial" w:eastAsia="Times New Roman" w:hAnsi="Arial" w:cs="Arial"/>
                <w:color w:val="000000"/>
              </w:rPr>
              <w:t>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6C2977EA" w14:textId="77777777" w:rsidTr="00784EB5">
        <w:trPr>
          <w:trHeight w:val="300"/>
        </w:trPr>
        <w:tc>
          <w:tcPr>
            <w:tcW w:w="1167" w:type="dxa"/>
            <w:shd w:val="clear" w:color="000000" w:fill="FFC000"/>
            <w:noWrap/>
            <w:vAlign w:val="center"/>
            <w:hideMark/>
          </w:tcPr>
          <w:p w14:paraId="04F1682F"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3C3694B6"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14F3E874" w14:textId="470F5638"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19 Litros Vinílica color Gris</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6A520319" w14:textId="77777777" w:rsidTr="00784EB5">
        <w:trPr>
          <w:trHeight w:val="300"/>
        </w:trPr>
        <w:tc>
          <w:tcPr>
            <w:tcW w:w="1167" w:type="dxa"/>
            <w:shd w:val="clear" w:color="000000" w:fill="FFC000"/>
            <w:noWrap/>
            <w:vAlign w:val="center"/>
            <w:hideMark/>
          </w:tcPr>
          <w:p w14:paraId="0DEA3AAE"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6DD9E3A0"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5AFE56BA" w14:textId="6336E9D6"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19 Litros Vinílica color Naranja</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w:t>
            </w:r>
            <w:r w:rsidR="00784EB5" w:rsidRPr="006B4904">
              <w:rPr>
                <w:rFonts w:ascii="Arial" w:eastAsia="Times New Roman" w:hAnsi="Arial" w:cs="Arial"/>
                <w:color w:val="000000"/>
              </w:rPr>
              <w:lastRenderedPageBreak/>
              <w:t>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6B6DC7FB" w14:textId="77777777" w:rsidTr="00784EB5">
        <w:trPr>
          <w:trHeight w:val="300"/>
        </w:trPr>
        <w:tc>
          <w:tcPr>
            <w:tcW w:w="1167" w:type="dxa"/>
            <w:shd w:val="clear" w:color="000000" w:fill="FFC000"/>
            <w:noWrap/>
            <w:vAlign w:val="center"/>
            <w:hideMark/>
          </w:tcPr>
          <w:p w14:paraId="674DB4A4"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lastRenderedPageBreak/>
              <w:t>1</w:t>
            </w:r>
          </w:p>
        </w:tc>
        <w:tc>
          <w:tcPr>
            <w:tcW w:w="1096" w:type="dxa"/>
            <w:vAlign w:val="center"/>
          </w:tcPr>
          <w:p w14:paraId="2B17DA43"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4D1CF848" w14:textId="6E4740FA"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19 Litros Vinílica color Blanco</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r w:rsidR="00263EEE" w:rsidRPr="006B4904" w14:paraId="6404B192" w14:textId="77777777" w:rsidTr="00784EB5">
        <w:trPr>
          <w:trHeight w:val="315"/>
        </w:trPr>
        <w:tc>
          <w:tcPr>
            <w:tcW w:w="1167" w:type="dxa"/>
            <w:shd w:val="clear" w:color="000000" w:fill="FFC000"/>
            <w:noWrap/>
            <w:vAlign w:val="center"/>
            <w:hideMark/>
          </w:tcPr>
          <w:p w14:paraId="6D9DE29D"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1</w:t>
            </w:r>
          </w:p>
        </w:tc>
        <w:tc>
          <w:tcPr>
            <w:tcW w:w="1096" w:type="dxa"/>
            <w:vAlign w:val="center"/>
          </w:tcPr>
          <w:p w14:paraId="5D0B99BE" w14:textId="77777777" w:rsidR="00263EEE" w:rsidRPr="006B4904" w:rsidRDefault="00263EEE" w:rsidP="00263EEE">
            <w:pPr>
              <w:spacing w:line="240" w:lineRule="auto"/>
              <w:jc w:val="center"/>
              <w:rPr>
                <w:rFonts w:ascii="Arial" w:eastAsia="Times New Roman" w:hAnsi="Arial" w:cs="Arial"/>
                <w:lang w:eastAsia="es-ES"/>
              </w:rPr>
            </w:pPr>
            <w:r w:rsidRPr="006B4904">
              <w:rPr>
                <w:rFonts w:ascii="Arial" w:eastAsia="Times New Roman" w:hAnsi="Arial" w:cs="Arial"/>
                <w:lang w:eastAsia="es-ES"/>
              </w:rPr>
              <w:t>Cubeta</w:t>
            </w:r>
          </w:p>
        </w:tc>
        <w:tc>
          <w:tcPr>
            <w:tcW w:w="7371" w:type="dxa"/>
            <w:shd w:val="clear" w:color="auto" w:fill="auto"/>
            <w:vAlign w:val="center"/>
            <w:hideMark/>
          </w:tcPr>
          <w:p w14:paraId="2115FFD7" w14:textId="687AE74E"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Pintura 19 Litros Vinílica color Negro</w:t>
            </w:r>
            <w:r w:rsidR="00784EB5" w:rsidRPr="006B4904">
              <w:rPr>
                <w:rFonts w:ascii="Arial" w:eastAsia="Times New Roman" w:hAnsi="Arial" w:cs="Arial"/>
                <w:color w:val="000000"/>
              </w:rPr>
              <w:t xml:space="preserve"> Acabado Satinado, Alto 38, Base Blanca, Capacidad /, Consumo 133.5, Contenido 18l, Contenido del empaque 1 cubeta de pintura con 19 l, Densidad 9.71 kg, Diámetro 31.3 cm, Entintado Entintable en colores claros, Formulación Agua, Interior / exterior, Largo 38 cm, Línea Behr specialty pintura epóxica, Material Acrílico epóxica, Modelo 900, No. de capas 2, No. de piezas 1, Peso 23.340 kg, Presentación Cubeta, Profundidad 31.12 cm, Rendimiento / área de cubrimiento 115 - 152m2, Secado final 4 horas, Tipo Acrílico epóxica, Tipo de superficie Concreto, Uso Entintable, Viscosidad 80 - 90 ku, Viscosidad 80 - 90 cps.</w:t>
            </w:r>
          </w:p>
        </w:tc>
      </w:tr>
    </w:tbl>
    <w:p w14:paraId="231D1F68" w14:textId="77777777" w:rsidR="00263EEE" w:rsidRPr="006B4904" w:rsidRDefault="00263EEE" w:rsidP="00263EEE">
      <w:pPr>
        <w:spacing w:line="240" w:lineRule="auto"/>
        <w:rPr>
          <w:rFonts w:ascii="Arial" w:eastAsia="Times New Roman" w:hAnsi="Arial" w:cs="Arial"/>
          <w:lang w:eastAsia="es-ES"/>
        </w:rPr>
      </w:pPr>
    </w:p>
    <w:p w14:paraId="2F4AABCE" w14:textId="77777777" w:rsidR="00263EEE" w:rsidRPr="006B4904" w:rsidRDefault="00263EEE" w:rsidP="00263EEE">
      <w:pPr>
        <w:spacing w:line="240" w:lineRule="auto"/>
        <w:rPr>
          <w:rFonts w:ascii="Arial" w:eastAsia="Times New Roman" w:hAnsi="Arial" w:cs="Arial"/>
          <w:lang w:eastAsia="es-ES"/>
        </w:rPr>
      </w:pPr>
      <w:r w:rsidRPr="006B4904">
        <w:rPr>
          <w:rFonts w:ascii="Arial" w:eastAsia="Times New Roman" w:hAnsi="Arial" w:cs="Arial"/>
          <w:lang w:eastAsia="es-ES"/>
        </w:rPr>
        <w:t xml:space="preserve">El adjudicado deberá tener un almacén, con la capacidad suficiente de almacenar el 300% del material de consumibles en existencia de las 10 cuadrillas. </w:t>
      </w:r>
    </w:p>
    <w:p w14:paraId="4D5CF404" w14:textId="77777777" w:rsidR="0098710C" w:rsidRDefault="0098710C" w:rsidP="0098710C">
      <w:pPr>
        <w:spacing w:line="240" w:lineRule="auto"/>
        <w:rPr>
          <w:rFonts w:ascii="Arial" w:eastAsia="Times New Roman" w:hAnsi="Arial" w:cs="Arial"/>
          <w:lang w:eastAsia="es-ES"/>
        </w:rPr>
      </w:pPr>
    </w:p>
    <w:p w14:paraId="5194ACEC" w14:textId="77777777" w:rsidR="008508FF" w:rsidRDefault="008508FF" w:rsidP="0098710C">
      <w:pPr>
        <w:spacing w:line="240" w:lineRule="auto"/>
        <w:rPr>
          <w:rFonts w:ascii="Arial" w:eastAsia="Times New Roman" w:hAnsi="Arial" w:cs="Arial"/>
          <w:lang w:eastAsia="es-ES"/>
        </w:rPr>
      </w:pPr>
    </w:p>
    <w:p w14:paraId="4B174296" w14:textId="77777777" w:rsidR="008508FF" w:rsidRDefault="008508FF" w:rsidP="0098710C">
      <w:pPr>
        <w:spacing w:line="240" w:lineRule="auto"/>
        <w:rPr>
          <w:rFonts w:ascii="Arial" w:eastAsia="Times New Roman" w:hAnsi="Arial" w:cs="Arial"/>
          <w:lang w:eastAsia="es-ES"/>
        </w:rPr>
      </w:pPr>
    </w:p>
    <w:p w14:paraId="173E03B4" w14:textId="77777777" w:rsidR="008508FF" w:rsidRDefault="008508FF" w:rsidP="0098710C">
      <w:pPr>
        <w:spacing w:line="240" w:lineRule="auto"/>
        <w:rPr>
          <w:rFonts w:ascii="Arial" w:eastAsia="Times New Roman" w:hAnsi="Arial" w:cs="Arial"/>
          <w:lang w:eastAsia="es-ES"/>
        </w:rPr>
      </w:pPr>
    </w:p>
    <w:p w14:paraId="2511BEC4" w14:textId="77777777" w:rsidR="008508FF" w:rsidRDefault="008508FF" w:rsidP="0098710C">
      <w:pPr>
        <w:spacing w:line="240" w:lineRule="auto"/>
        <w:rPr>
          <w:rFonts w:ascii="Arial" w:eastAsia="Times New Roman" w:hAnsi="Arial" w:cs="Arial"/>
          <w:lang w:eastAsia="es-ES"/>
        </w:rPr>
      </w:pPr>
    </w:p>
    <w:p w14:paraId="302147EF" w14:textId="77777777" w:rsidR="008508FF" w:rsidRDefault="008508FF" w:rsidP="0098710C">
      <w:pPr>
        <w:spacing w:line="240" w:lineRule="auto"/>
        <w:rPr>
          <w:rFonts w:ascii="Arial" w:eastAsia="Times New Roman" w:hAnsi="Arial" w:cs="Arial"/>
          <w:lang w:eastAsia="es-ES"/>
        </w:rPr>
      </w:pPr>
    </w:p>
    <w:p w14:paraId="073A67DA" w14:textId="77777777" w:rsidR="008508FF" w:rsidRDefault="008508FF" w:rsidP="0098710C">
      <w:pPr>
        <w:spacing w:line="240" w:lineRule="auto"/>
        <w:rPr>
          <w:rFonts w:ascii="Arial" w:eastAsia="Times New Roman" w:hAnsi="Arial" w:cs="Arial"/>
          <w:lang w:eastAsia="es-ES"/>
        </w:rPr>
      </w:pPr>
    </w:p>
    <w:p w14:paraId="591CECEF" w14:textId="77777777" w:rsidR="008508FF" w:rsidRDefault="008508FF" w:rsidP="0098710C">
      <w:pPr>
        <w:spacing w:line="240" w:lineRule="auto"/>
        <w:rPr>
          <w:rFonts w:ascii="Arial" w:eastAsia="Times New Roman" w:hAnsi="Arial" w:cs="Arial"/>
          <w:lang w:eastAsia="es-ES"/>
        </w:rPr>
      </w:pPr>
    </w:p>
    <w:p w14:paraId="1B8B5339" w14:textId="77777777" w:rsidR="008508FF" w:rsidRDefault="008508FF" w:rsidP="0098710C">
      <w:pPr>
        <w:spacing w:line="240" w:lineRule="auto"/>
        <w:rPr>
          <w:rFonts w:ascii="Arial" w:eastAsia="Times New Roman" w:hAnsi="Arial" w:cs="Arial"/>
          <w:lang w:eastAsia="es-ES"/>
        </w:rPr>
      </w:pPr>
    </w:p>
    <w:p w14:paraId="077316A8" w14:textId="77777777" w:rsidR="008508FF" w:rsidRDefault="008508FF" w:rsidP="0098710C">
      <w:pPr>
        <w:spacing w:line="240" w:lineRule="auto"/>
        <w:rPr>
          <w:rFonts w:ascii="Arial" w:eastAsia="Times New Roman" w:hAnsi="Arial" w:cs="Arial"/>
          <w:lang w:eastAsia="es-ES"/>
        </w:rPr>
      </w:pPr>
    </w:p>
    <w:p w14:paraId="530A63E5" w14:textId="77777777" w:rsidR="008508FF" w:rsidRDefault="008508FF" w:rsidP="0098710C">
      <w:pPr>
        <w:spacing w:line="240" w:lineRule="auto"/>
        <w:rPr>
          <w:rFonts w:ascii="Arial" w:eastAsia="Times New Roman" w:hAnsi="Arial" w:cs="Arial"/>
          <w:lang w:eastAsia="es-ES"/>
        </w:rPr>
      </w:pPr>
    </w:p>
    <w:p w14:paraId="39D97BA9" w14:textId="77777777" w:rsidR="008508FF" w:rsidRDefault="008508FF" w:rsidP="0098710C">
      <w:pPr>
        <w:spacing w:line="240" w:lineRule="auto"/>
        <w:rPr>
          <w:rFonts w:ascii="Arial" w:eastAsia="Times New Roman" w:hAnsi="Arial" w:cs="Arial"/>
          <w:lang w:eastAsia="es-ES"/>
        </w:rPr>
      </w:pPr>
    </w:p>
    <w:p w14:paraId="631BBC80" w14:textId="77777777" w:rsidR="008508FF" w:rsidRDefault="008508FF" w:rsidP="0098710C">
      <w:pPr>
        <w:spacing w:line="240" w:lineRule="auto"/>
        <w:rPr>
          <w:rFonts w:ascii="Arial" w:eastAsia="Times New Roman" w:hAnsi="Arial" w:cs="Arial"/>
          <w:lang w:eastAsia="es-ES"/>
        </w:rPr>
      </w:pPr>
    </w:p>
    <w:p w14:paraId="4A5EE726" w14:textId="77777777" w:rsidR="008508FF" w:rsidRDefault="008508FF" w:rsidP="0098710C">
      <w:pPr>
        <w:spacing w:line="240" w:lineRule="auto"/>
        <w:rPr>
          <w:rFonts w:ascii="Arial" w:eastAsia="Times New Roman" w:hAnsi="Arial" w:cs="Arial"/>
          <w:lang w:eastAsia="es-ES"/>
        </w:rPr>
      </w:pPr>
    </w:p>
    <w:p w14:paraId="01AED14E" w14:textId="77777777" w:rsidR="008508FF" w:rsidRDefault="008508FF" w:rsidP="0098710C">
      <w:pPr>
        <w:spacing w:line="240" w:lineRule="auto"/>
        <w:rPr>
          <w:rFonts w:ascii="Arial" w:eastAsia="Times New Roman" w:hAnsi="Arial" w:cs="Arial"/>
          <w:lang w:eastAsia="es-ES"/>
        </w:rPr>
      </w:pPr>
    </w:p>
    <w:p w14:paraId="62185AF2" w14:textId="77777777" w:rsidR="008508FF" w:rsidRPr="006B4904" w:rsidRDefault="008508FF" w:rsidP="0098710C">
      <w:pPr>
        <w:spacing w:line="240" w:lineRule="auto"/>
        <w:rPr>
          <w:rFonts w:ascii="Arial" w:eastAsia="Times New Roman" w:hAnsi="Arial" w:cs="Arial"/>
          <w:lang w:eastAsia="es-ES"/>
        </w:rPr>
      </w:pPr>
    </w:p>
    <w:p w14:paraId="1F3419C8" w14:textId="77777777" w:rsidR="008508FF" w:rsidRDefault="008508FF" w:rsidP="008508FF">
      <w:pPr>
        <w:spacing w:line="240" w:lineRule="auto"/>
        <w:ind w:firstLine="708"/>
        <w:jc w:val="center"/>
        <w:rPr>
          <w:rFonts w:ascii="Arial" w:hAnsi="Arial" w:cs="Arial"/>
          <w:b/>
          <w:sz w:val="32"/>
          <w:szCs w:val="32"/>
        </w:rPr>
      </w:pPr>
      <w:r>
        <w:rPr>
          <w:rFonts w:ascii="Arial" w:hAnsi="Arial" w:cs="Arial"/>
          <w:b/>
          <w:sz w:val="32"/>
          <w:szCs w:val="32"/>
        </w:rPr>
        <w:t>ORDEN DE PAGO</w:t>
      </w:r>
    </w:p>
    <w:p w14:paraId="2CCDDD4E" w14:textId="6BBA9277" w:rsidR="008508FF" w:rsidRDefault="008508FF" w:rsidP="008508FF">
      <w:pPr>
        <w:spacing w:line="240" w:lineRule="auto"/>
        <w:ind w:firstLine="708"/>
        <w:jc w:val="center"/>
        <w:rPr>
          <w:rFonts w:ascii="Arial" w:hAnsi="Arial" w:cs="Arial"/>
          <w:sz w:val="28"/>
          <w:szCs w:val="28"/>
        </w:rPr>
      </w:pPr>
      <w:r>
        <w:rPr>
          <w:rFonts w:ascii="Arial" w:hAnsi="Arial" w:cs="Arial"/>
          <w:sz w:val="28"/>
          <w:szCs w:val="28"/>
        </w:rPr>
        <w:t>BASES DE LICITACIÓN OM-54/2024</w:t>
      </w:r>
    </w:p>
    <w:p w14:paraId="70AFD665" w14:textId="77777777" w:rsidR="008508FF" w:rsidRDefault="008508FF" w:rsidP="008508FF">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70"/>
        <w:gridCol w:w="4486"/>
      </w:tblGrid>
      <w:tr w:rsidR="008508FF" w14:paraId="1E82DC12" w14:textId="77777777" w:rsidTr="008D2490">
        <w:tc>
          <w:tcPr>
            <w:tcW w:w="9054" w:type="dxa"/>
            <w:gridSpan w:val="2"/>
          </w:tcPr>
          <w:p w14:paraId="24C0D176" w14:textId="77777777" w:rsidR="008508FF" w:rsidRDefault="008508FF" w:rsidP="008D2490">
            <w:pPr>
              <w:spacing w:line="240" w:lineRule="auto"/>
              <w:jc w:val="center"/>
              <w:rPr>
                <w:rFonts w:ascii="Arial" w:hAnsi="Arial" w:cs="Arial"/>
              </w:rPr>
            </w:pPr>
            <w:r>
              <w:rPr>
                <w:rFonts w:ascii="Arial" w:hAnsi="Arial" w:cs="Arial"/>
                <w:noProof/>
              </w:rPr>
              <w:drawing>
                <wp:inline distT="0" distB="0" distL="0" distR="0" wp14:anchorId="60FE5235" wp14:editId="17A4A0EF">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14305D95" w14:textId="77777777" w:rsidR="008508FF" w:rsidRDefault="008508FF" w:rsidP="008D2490">
            <w:pPr>
              <w:spacing w:line="240" w:lineRule="auto"/>
              <w:rPr>
                <w:rFonts w:ascii="Arial" w:hAnsi="Arial" w:cs="Arial"/>
              </w:rPr>
            </w:pPr>
          </w:p>
        </w:tc>
      </w:tr>
      <w:tr w:rsidR="008508FF" w14:paraId="4E1155A6" w14:textId="77777777" w:rsidTr="008D2490">
        <w:tc>
          <w:tcPr>
            <w:tcW w:w="9054" w:type="dxa"/>
            <w:gridSpan w:val="2"/>
          </w:tcPr>
          <w:p w14:paraId="1D416832" w14:textId="77777777" w:rsidR="008508FF" w:rsidRDefault="008508FF" w:rsidP="008D2490">
            <w:pPr>
              <w:spacing w:line="240" w:lineRule="auto"/>
              <w:jc w:val="center"/>
              <w:rPr>
                <w:rFonts w:ascii="Arial" w:hAnsi="Arial" w:cs="Arial"/>
                <w:b/>
              </w:rPr>
            </w:pPr>
            <w:r>
              <w:rPr>
                <w:rFonts w:ascii="Arial" w:hAnsi="Arial" w:cs="Arial"/>
                <w:b/>
              </w:rPr>
              <w:t>MUNICIPIO DE TLAJOMULCO DE ZÚÑIGA, JALISCO</w:t>
            </w:r>
          </w:p>
          <w:p w14:paraId="71470ED8" w14:textId="77777777" w:rsidR="008508FF" w:rsidRDefault="008508FF" w:rsidP="008D2490">
            <w:pPr>
              <w:spacing w:line="240" w:lineRule="auto"/>
              <w:jc w:val="center"/>
              <w:rPr>
                <w:rFonts w:ascii="Arial" w:hAnsi="Arial" w:cs="Arial"/>
              </w:rPr>
            </w:pPr>
            <w:r>
              <w:rPr>
                <w:rFonts w:ascii="Arial" w:hAnsi="Arial" w:cs="Arial"/>
                <w:b/>
              </w:rPr>
              <w:t>DIRECCIÓN DE RECURSOS MATERIALES</w:t>
            </w:r>
          </w:p>
        </w:tc>
      </w:tr>
      <w:tr w:rsidR="008508FF" w14:paraId="1723C50F" w14:textId="77777777" w:rsidTr="008D2490">
        <w:tc>
          <w:tcPr>
            <w:tcW w:w="9054" w:type="dxa"/>
            <w:gridSpan w:val="2"/>
          </w:tcPr>
          <w:p w14:paraId="0A0FB1C7" w14:textId="77777777" w:rsidR="008508FF" w:rsidRDefault="008508FF" w:rsidP="008D2490">
            <w:pPr>
              <w:spacing w:line="240" w:lineRule="auto"/>
              <w:jc w:val="center"/>
              <w:rPr>
                <w:rFonts w:ascii="Arial" w:hAnsi="Arial" w:cs="Arial"/>
              </w:rPr>
            </w:pPr>
            <w:r>
              <w:rPr>
                <w:rFonts w:ascii="Arial" w:hAnsi="Arial" w:cs="Arial"/>
              </w:rPr>
              <w:t>DATOS DE LICITACIÓN</w:t>
            </w:r>
          </w:p>
        </w:tc>
      </w:tr>
      <w:tr w:rsidR="008508FF" w14:paraId="3935C88F" w14:textId="77777777" w:rsidTr="008D2490">
        <w:trPr>
          <w:trHeight w:val="234"/>
        </w:trPr>
        <w:tc>
          <w:tcPr>
            <w:tcW w:w="9054" w:type="dxa"/>
            <w:gridSpan w:val="2"/>
          </w:tcPr>
          <w:p w14:paraId="524B98E7" w14:textId="67065A69" w:rsidR="008508FF" w:rsidRDefault="008508FF" w:rsidP="008D2490">
            <w:pPr>
              <w:spacing w:line="240" w:lineRule="auto"/>
              <w:rPr>
                <w:rFonts w:ascii="Arial" w:hAnsi="Arial" w:cs="Arial"/>
                <w:sz w:val="20"/>
                <w:szCs w:val="20"/>
              </w:rPr>
            </w:pPr>
            <w:r>
              <w:rPr>
                <w:rFonts w:ascii="Arial" w:hAnsi="Arial" w:cs="Arial"/>
                <w:sz w:val="20"/>
                <w:szCs w:val="20"/>
              </w:rPr>
              <w:t xml:space="preserve">IMPORTE: </w:t>
            </w:r>
            <w:r w:rsidRPr="008508FF">
              <w:rPr>
                <w:rFonts w:ascii="Arial" w:hAnsi="Arial" w:cs="Arial"/>
                <w:sz w:val="20"/>
                <w:szCs w:val="20"/>
              </w:rPr>
              <w:t>$8,815.00</w:t>
            </w:r>
            <w:r>
              <w:rPr>
                <w:rFonts w:ascii="Arial" w:hAnsi="Arial" w:cs="Arial"/>
                <w:sz w:val="20"/>
                <w:szCs w:val="20"/>
              </w:rPr>
              <w:t xml:space="preserve"> CON LETRA:  OCHO MIL OCHOCIENTOS QUINCE PESOS, 00/100, M. N.</w:t>
            </w:r>
          </w:p>
        </w:tc>
      </w:tr>
      <w:tr w:rsidR="008508FF" w14:paraId="1536A5A4" w14:textId="77777777" w:rsidTr="008D2490">
        <w:trPr>
          <w:trHeight w:val="1662"/>
        </w:trPr>
        <w:tc>
          <w:tcPr>
            <w:tcW w:w="4527" w:type="dxa"/>
          </w:tcPr>
          <w:p w14:paraId="5F5BEC57" w14:textId="77777777" w:rsidR="008508FF" w:rsidRDefault="008508FF" w:rsidP="008D2490">
            <w:pPr>
              <w:spacing w:line="240" w:lineRule="auto"/>
              <w:rPr>
                <w:rFonts w:ascii="Arial" w:hAnsi="Arial" w:cs="Arial"/>
              </w:rPr>
            </w:pPr>
          </w:p>
        </w:tc>
        <w:tc>
          <w:tcPr>
            <w:tcW w:w="4527" w:type="dxa"/>
          </w:tcPr>
          <w:p w14:paraId="0A165139" w14:textId="55A614FF" w:rsidR="008508FF" w:rsidRDefault="008508FF" w:rsidP="008508FF">
            <w:pPr>
              <w:tabs>
                <w:tab w:val="left" w:pos="4180"/>
              </w:tabs>
              <w:spacing w:line="240" w:lineRule="auto"/>
              <w:rPr>
                <w:rFonts w:ascii="Arial" w:eastAsia="Arial" w:hAnsi="Arial" w:cs="Arial"/>
                <w:b/>
              </w:rPr>
            </w:pPr>
            <w:r w:rsidRPr="008508FF">
              <w:rPr>
                <w:rFonts w:ascii="Arial" w:eastAsia="Arial" w:hAnsi="Arial" w:cs="Arial"/>
                <w:b/>
                <w:bCs/>
              </w:rPr>
              <w:t>OM-54/2024</w:t>
            </w:r>
            <w:r>
              <w:rPr>
                <w:rFonts w:ascii="Arial" w:eastAsia="Arial" w:hAnsi="Arial" w:cs="Arial"/>
                <w:b/>
                <w:bCs/>
              </w:rPr>
              <w:t xml:space="preserve"> </w:t>
            </w:r>
            <w:r w:rsidRPr="008508FF">
              <w:rPr>
                <w:rFonts w:ascii="Arial" w:eastAsia="Arial" w:hAnsi="Arial" w:cs="Arial"/>
                <w:b/>
                <w:bCs/>
              </w:rPr>
              <w:t>“ADQUISICIÓN DEL SERVICIO DE MEJORAMIENTO Y MANTENIMIENTO INTEGRAL URBANO CON CAMIONES DE CORRESPONSABILIDAD PARA LOCALIDADES DEL MUNICIPIO DE TLAJOMULCO DE ZÚÑIGA, JALISCO (RECORTADA)”</w:t>
            </w:r>
          </w:p>
        </w:tc>
      </w:tr>
      <w:tr w:rsidR="008508FF" w14:paraId="1CD90BDF" w14:textId="77777777" w:rsidTr="008D2490">
        <w:tc>
          <w:tcPr>
            <w:tcW w:w="9054" w:type="dxa"/>
            <w:gridSpan w:val="2"/>
          </w:tcPr>
          <w:p w14:paraId="6C7D4550" w14:textId="77777777" w:rsidR="008508FF" w:rsidRDefault="008508FF" w:rsidP="008D2490">
            <w:pPr>
              <w:spacing w:line="240" w:lineRule="auto"/>
              <w:jc w:val="center"/>
              <w:rPr>
                <w:rFonts w:ascii="Arial" w:hAnsi="Arial" w:cs="Arial"/>
                <w:b/>
              </w:rPr>
            </w:pPr>
            <w:r>
              <w:rPr>
                <w:rFonts w:ascii="Arial" w:hAnsi="Arial" w:cs="Arial"/>
                <w:b/>
              </w:rPr>
              <w:t>DATOS DEL LICITANTE</w:t>
            </w:r>
          </w:p>
        </w:tc>
      </w:tr>
      <w:tr w:rsidR="008508FF" w14:paraId="70580654" w14:textId="77777777" w:rsidTr="008D2490">
        <w:tc>
          <w:tcPr>
            <w:tcW w:w="4527" w:type="dxa"/>
          </w:tcPr>
          <w:p w14:paraId="4DA91C96" w14:textId="77777777" w:rsidR="008508FF" w:rsidRDefault="008508FF" w:rsidP="008D2490">
            <w:pPr>
              <w:spacing w:line="240" w:lineRule="auto"/>
              <w:rPr>
                <w:rFonts w:ascii="Arial" w:hAnsi="Arial" w:cs="Arial"/>
              </w:rPr>
            </w:pPr>
            <w:r>
              <w:rPr>
                <w:rFonts w:ascii="Arial" w:hAnsi="Arial" w:cs="Arial"/>
              </w:rPr>
              <w:t xml:space="preserve">LICITANTE </w:t>
            </w:r>
          </w:p>
        </w:tc>
        <w:tc>
          <w:tcPr>
            <w:tcW w:w="4527" w:type="dxa"/>
          </w:tcPr>
          <w:p w14:paraId="6BBA97A2" w14:textId="77777777" w:rsidR="008508FF" w:rsidRDefault="008508FF" w:rsidP="008D2490">
            <w:pPr>
              <w:spacing w:line="240" w:lineRule="auto"/>
              <w:rPr>
                <w:rFonts w:ascii="Arial" w:hAnsi="Arial" w:cs="Arial"/>
              </w:rPr>
            </w:pPr>
          </w:p>
        </w:tc>
      </w:tr>
      <w:tr w:rsidR="008508FF" w14:paraId="460834B0" w14:textId="77777777" w:rsidTr="008D2490">
        <w:tc>
          <w:tcPr>
            <w:tcW w:w="4527" w:type="dxa"/>
          </w:tcPr>
          <w:p w14:paraId="7BF7B4AE" w14:textId="77777777" w:rsidR="008508FF" w:rsidRDefault="008508FF" w:rsidP="008D2490">
            <w:pPr>
              <w:spacing w:line="240" w:lineRule="auto"/>
              <w:rPr>
                <w:rFonts w:ascii="Arial" w:hAnsi="Arial" w:cs="Arial"/>
              </w:rPr>
            </w:pPr>
            <w:r>
              <w:rPr>
                <w:rFonts w:ascii="Arial" w:hAnsi="Arial" w:cs="Arial"/>
              </w:rPr>
              <w:t>R. F. C.</w:t>
            </w:r>
          </w:p>
        </w:tc>
        <w:tc>
          <w:tcPr>
            <w:tcW w:w="4527" w:type="dxa"/>
          </w:tcPr>
          <w:p w14:paraId="68DB7444" w14:textId="77777777" w:rsidR="008508FF" w:rsidRDefault="008508FF" w:rsidP="008D2490">
            <w:pPr>
              <w:spacing w:line="240" w:lineRule="auto"/>
              <w:rPr>
                <w:rFonts w:ascii="Arial" w:hAnsi="Arial" w:cs="Arial"/>
              </w:rPr>
            </w:pPr>
          </w:p>
        </w:tc>
      </w:tr>
      <w:tr w:rsidR="008508FF" w14:paraId="07B56CF2" w14:textId="77777777" w:rsidTr="008D2490">
        <w:tc>
          <w:tcPr>
            <w:tcW w:w="4527" w:type="dxa"/>
          </w:tcPr>
          <w:p w14:paraId="43DA1190" w14:textId="77777777" w:rsidR="008508FF" w:rsidRDefault="008508FF" w:rsidP="008D2490">
            <w:pPr>
              <w:spacing w:line="240" w:lineRule="auto"/>
              <w:rPr>
                <w:rFonts w:ascii="Arial" w:hAnsi="Arial" w:cs="Arial"/>
              </w:rPr>
            </w:pPr>
            <w:r>
              <w:rPr>
                <w:rFonts w:ascii="Arial" w:hAnsi="Arial" w:cs="Arial"/>
              </w:rPr>
              <w:t>NO. DE PROVEEDOR (PARA EL CASO DE CONTAR CON NÚMERO)</w:t>
            </w:r>
          </w:p>
        </w:tc>
        <w:tc>
          <w:tcPr>
            <w:tcW w:w="4527" w:type="dxa"/>
          </w:tcPr>
          <w:p w14:paraId="1FE0A20C" w14:textId="77777777" w:rsidR="008508FF" w:rsidRDefault="008508FF" w:rsidP="008D2490">
            <w:pPr>
              <w:tabs>
                <w:tab w:val="left" w:pos="1628"/>
              </w:tabs>
              <w:spacing w:line="240" w:lineRule="auto"/>
              <w:rPr>
                <w:rFonts w:ascii="Arial" w:hAnsi="Arial" w:cs="Arial"/>
              </w:rPr>
            </w:pPr>
          </w:p>
        </w:tc>
      </w:tr>
      <w:tr w:rsidR="008508FF" w14:paraId="074D107D" w14:textId="77777777" w:rsidTr="008D2490">
        <w:tc>
          <w:tcPr>
            <w:tcW w:w="4527" w:type="dxa"/>
          </w:tcPr>
          <w:p w14:paraId="5621376F" w14:textId="77777777" w:rsidR="008508FF" w:rsidRDefault="008508FF" w:rsidP="008D2490">
            <w:pPr>
              <w:spacing w:line="240" w:lineRule="auto"/>
              <w:rPr>
                <w:rFonts w:ascii="Arial" w:hAnsi="Arial" w:cs="Arial"/>
              </w:rPr>
            </w:pPr>
            <w:r>
              <w:rPr>
                <w:rFonts w:ascii="Arial" w:hAnsi="Arial" w:cs="Arial"/>
              </w:rPr>
              <w:t>NOMBRE DE REPRESENTANTE</w:t>
            </w:r>
          </w:p>
        </w:tc>
        <w:tc>
          <w:tcPr>
            <w:tcW w:w="4527" w:type="dxa"/>
          </w:tcPr>
          <w:p w14:paraId="53588E04" w14:textId="77777777" w:rsidR="008508FF" w:rsidRDefault="008508FF" w:rsidP="008D2490">
            <w:pPr>
              <w:spacing w:line="240" w:lineRule="auto"/>
              <w:rPr>
                <w:rFonts w:ascii="Arial" w:hAnsi="Arial" w:cs="Arial"/>
              </w:rPr>
            </w:pPr>
          </w:p>
        </w:tc>
      </w:tr>
      <w:tr w:rsidR="008508FF" w14:paraId="13601589" w14:textId="77777777" w:rsidTr="008D2490">
        <w:tc>
          <w:tcPr>
            <w:tcW w:w="4527" w:type="dxa"/>
          </w:tcPr>
          <w:p w14:paraId="327E4781" w14:textId="77777777" w:rsidR="008508FF" w:rsidRDefault="008508FF" w:rsidP="008D2490">
            <w:pPr>
              <w:spacing w:line="240" w:lineRule="auto"/>
              <w:rPr>
                <w:rFonts w:ascii="Arial" w:hAnsi="Arial" w:cs="Arial"/>
              </w:rPr>
            </w:pPr>
            <w:r>
              <w:rPr>
                <w:rFonts w:ascii="Arial" w:hAnsi="Arial" w:cs="Arial"/>
              </w:rPr>
              <w:t>TELÉFONO CELULAR DE CONTACTO</w:t>
            </w:r>
          </w:p>
        </w:tc>
        <w:tc>
          <w:tcPr>
            <w:tcW w:w="4527" w:type="dxa"/>
          </w:tcPr>
          <w:p w14:paraId="3189ED44" w14:textId="77777777" w:rsidR="008508FF" w:rsidRDefault="008508FF" w:rsidP="008D2490">
            <w:pPr>
              <w:spacing w:line="240" w:lineRule="auto"/>
              <w:rPr>
                <w:rFonts w:ascii="Arial" w:hAnsi="Arial" w:cs="Arial"/>
              </w:rPr>
            </w:pPr>
          </w:p>
        </w:tc>
      </w:tr>
      <w:tr w:rsidR="008508FF" w14:paraId="39A4EF66" w14:textId="77777777" w:rsidTr="008D2490">
        <w:trPr>
          <w:trHeight w:val="442"/>
        </w:trPr>
        <w:tc>
          <w:tcPr>
            <w:tcW w:w="4527" w:type="dxa"/>
          </w:tcPr>
          <w:p w14:paraId="6826D55A" w14:textId="77777777" w:rsidR="008508FF" w:rsidRDefault="008508FF" w:rsidP="008D2490">
            <w:pPr>
              <w:spacing w:line="240" w:lineRule="auto"/>
              <w:rPr>
                <w:rFonts w:ascii="Arial" w:hAnsi="Arial" w:cs="Arial"/>
              </w:rPr>
            </w:pPr>
            <w:r>
              <w:rPr>
                <w:rFonts w:ascii="Arial" w:hAnsi="Arial" w:cs="Arial"/>
              </w:rPr>
              <w:t xml:space="preserve">CORREO ELECTRÓNICO </w:t>
            </w:r>
          </w:p>
        </w:tc>
        <w:tc>
          <w:tcPr>
            <w:tcW w:w="4527" w:type="dxa"/>
          </w:tcPr>
          <w:p w14:paraId="34D3BA75" w14:textId="77777777" w:rsidR="008508FF" w:rsidRDefault="008508FF" w:rsidP="008D2490">
            <w:pPr>
              <w:spacing w:line="240" w:lineRule="auto"/>
              <w:rPr>
                <w:rFonts w:ascii="Arial" w:hAnsi="Arial" w:cs="Arial"/>
              </w:rPr>
            </w:pPr>
          </w:p>
        </w:tc>
      </w:tr>
      <w:tr w:rsidR="008508FF" w14:paraId="71A88ADB" w14:textId="77777777" w:rsidTr="008D2490">
        <w:tc>
          <w:tcPr>
            <w:tcW w:w="9054" w:type="dxa"/>
            <w:gridSpan w:val="2"/>
          </w:tcPr>
          <w:p w14:paraId="0780EE2E" w14:textId="77777777" w:rsidR="008508FF" w:rsidRDefault="008508FF" w:rsidP="008D2490">
            <w:pPr>
              <w:spacing w:line="240" w:lineRule="auto"/>
              <w:jc w:val="center"/>
              <w:rPr>
                <w:rFonts w:ascii="Arial" w:hAnsi="Arial" w:cs="Arial"/>
              </w:rPr>
            </w:pPr>
          </w:p>
          <w:p w14:paraId="783E112E" w14:textId="77777777" w:rsidR="008508FF" w:rsidRDefault="008508FF" w:rsidP="008D2490">
            <w:pPr>
              <w:spacing w:line="240" w:lineRule="auto"/>
              <w:jc w:val="center"/>
              <w:rPr>
                <w:rFonts w:ascii="Arial" w:hAnsi="Arial" w:cs="Arial"/>
              </w:rPr>
            </w:pPr>
            <w:r>
              <w:rPr>
                <w:rFonts w:ascii="Arial" w:hAnsi="Arial" w:cs="Arial"/>
              </w:rPr>
              <w:t>Sello autorización área responsable</w:t>
            </w:r>
          </w:p>
          <w:p w14:paraId="002613F1" w14:textId="77777777" w:rsidR="008508FF" w:rsidRDefault="008508FF" w:rsidP="008D2490">
            <w:pPr>
              <w:spacing w:line="240" w:lineRule="auto"/>
              <w:rPr>
                <w:rFonts w:ascii="Arial" w:hAnsi="Arial" w:cs="Arial"/>
              </w:rPr>
            </w:pPr>
          </w:p>
          <w:p w14:paraId="4FD7AC56" w14:textId="77777777" w:rsidR="008508FF" w:rsidRDefault="008508FF" w:rsidP="008D2490">
            <w:pPr>
              <w:spacing w:line="240" w:lineRule="auto"/>
              <w:rPr>
                <w:rFonts w:ascii="Arial" w:hAnsi="Arial" w:cs="Arial"/>
              </w:rPr>
            </w:pPr>
          </w:p>
          <w:p w14:paraId="1FFB4A65" w14:textId="77777777" w:rsidR="008508FF" w:rsidRDefault="008508FF" w:rsidP="008D2490">
            <w:pPr>
              <w:spacing w:line="240" w:lineRule="auto"/>
              <w:rPr>
                <w:rFonts w:ascii="Arial" w:hAnsi="Arial" w:cs="Arial"/>
              </w:rPr>
            </w:pPr>
          </w:p>
          <w:p w14:paraId="3CD6F48A" w14:textId="77777777" w:rsidR="008508FF" w:rsidRPr="008508FF" w:rsidRDefault="008508FF" w:rsidP="008508FF">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6E955346" w14:textId="1D702EE5" w:rsidR="008508FF" w:rsidRDefault="008508FF" w:rsidP="008508FF">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69E3D916" w14:textId="77777777" w:rsidR="008508FF" w:rsidRDefault="008508FF" w:rsidP="008508FF">
      <w:pPr>
        <w:rPr>
          <w:rFonts w:ascii="Arial" w:hAnsi="Arial" w:cs="Arial"/>
        </w:rPr>
      </w:pPr>
    </w:p>
    <w:p w14:paraId="650BFFA0" w14:textId="77777777" w:rsidR="008508FF" w:rsidRDefault="008508FF" w:rsidP="008508FF">
      <w:pPr>
        <w:rPr>
          <w:rFonts w:ascii="Arial" w:hAnsi="Arial" w:cs="Arial"/>
        </w:rPr>
      </w:pPr>
    </w:p>
    <w:p w14:paraId="185A86C7" w14:textId="77777777" w:rsidR="008508FF" w:rsidRDefault="008508FF" w:rsidP="008508FF">
      <w:pPr>
        <w:rPr>
          <w:rFonts w:ascii="Arial" w:hAnsi="Arial" w:cs="Arial"/>
          <w:sz w:val="20"/>
          <w:szCs w:val="20"/>
        </w:rPr>
      </w:pPr>
      <w:r>
        <w:rPr>
          <w:rFonts w:ascii="Arial" w:hAnsi="Arial" w:cs="Arial"/>
          <w:sz w:val="20"/>
          <w:szCs w:val="20"/>
        </w:rPr>
        <w:t>Favor de llenar a máquina o con letra de molde</w:t>
      </w:r>
    </w:p>
    <w:p w14:paraId="63F1381D" w14:textId="77777777" w:rsidR="008508FF" w:rsidRDefault="008508FF" w:rsidP="008508FF">
      <w:pPr>
        <w:ind w:right="622"/>
        <w:rPr>
          <w:rFonts w:ascii="Arial" w:eastAsia="Arial" w:hAnsi="Arial" w:cs="Arial"/>
        </w:rPr>
      </w:pPr>
    </w:p>
    <w:p w14:paraId="5639A6AB" w14:textId="77777777" w:rsidR="002E7E05" w:rsidRDefault="002E7E05">
      <w:pPr>
        <w:spacing w:line="240" w:lineRule="auto"/>
        <w:rPr>
          <w:rFonts w:ascii="Arial" w:eastAsia="Times New Roman" w:hAnsi="Arial"/>
          <w:sz w:val="24"/>
          <w:szCs w:val="24"/>
          <w:lang w:eastAsia="es-ES"/>
        </w:rPr>
      </w:pPr>
    </w:p>
    <w:sectPr w:rsidR="002E7E05">
      <w:footerReference w:type="default" r:id="rId12"/>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7243" w14:textId="77777777" w:rsidR="00E6043E" w:rsidRDefault="00E6043E">
      <w:pPr>
        <w:spacing w:line="240" w:lineRule="auto"/>
      </w:pPr>
      <w:r>
        <w:separator/>
      </w:r>
    </w:p>
  </w:endnote>
  <w:endnote w:type="continuationSeparator" w:id="0">
    <w:p w14:paraId="39A84DBC" w14:textId="77777777" w:rsidR="00E6043E" w:rsidRDefault="00E6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default"/>
    <w:sig w:usb0="00000000" w:usb1="00000000" w:usb2="00000000" w:usb3="00000000" w:csb0="00000093" w:csb1="00000000"/>
  </w:font>
  <w:font w:name="Core Rhino 35 Light">
    <w:altName w:val="Calibri"/>
    <w:charset w:val="00"/>
    <w:family w:val="auto"/>
    <w:pitch w:val="default"/>
    <w:sig w:usb0="00000000" w:usb1="00000000"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915138"/>
      <w:docPartObj>
        <w:docPartGallery w:val="Page Numbers (Bottom of Page)"/>
        <w:docPartUnique/>
      </w:docPartObj>
    </w:sdtPr>
    <w:sdtContent>
      <w:p w14:paraId="53568BBE" w14:textId="093DAA29" w:rsidR="001A35D8" w:rsidRDefault="001A35D8">
        <w:pPr>
          <w:pStyle w:val="Piedepgina"/>
          <w:jc w:val="right"/>
        </w:pPr>
        <w:r>
          <w:fldChar w:fldCharType="begin"/>
        </w:r>
        <w:r>
          <w:instrText>PAGE   \* MERGEFORMAT</w:instrText>
        </w:r>
        <w:r>
          <w:fldChar w:fldCharType="separate"/>
        </w:r>
        <w:r>
          <w:t>2</w:t>
        </w:r>
        <w:r>
          <w:fldChar w:fldCharType="end"/>
        </w:r>
      </w:p>
    </w:sdtContent>
  </w:sdt>
  <w:p w14:paraId="166AC48D" w14:textId="6DE71E46" w:rsidR="002E7E05" w:rsidRDefault="002E7E05" w:rsidP="001A35D8">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1A7A" w14:textId="77777777" w:rsidR="00E6043E" w:rsidRDefault="00E6043E">
      <w:r>
        <w:separator/>
      </w:r>
    </w:p>
  </w:footnote>
  <w:footnote w:type="continuationSeparator" w:id="0">
    <w:p w14:paraId="36C44CD8" w14:textId="77777777" w:rsidR="00E6043E" w:rsidRDefault="00E6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8"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9"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123187569">
    <w:abstractNumId w:val="8"/>
  </w:num>
  <w:num w:numId="2" w16cid:durableId="1180270494">
    <w:abstractNumId w:val="0"/>
  </w:num>
  <w:num w:numId="3" w16cid:durableId="720901173">
    <w:abstractNumId w:val="4"/>
  </w:num>
  <w:num w:numId="4" w16cid:durableId="527721183">
    <w:abstractNumId w:val="5"/>
  </w:num>
  <w:num w:numId="5" w16cid:durableId="89738435">
    <w:abstractNumId w:val="3"/>
  </w:num>
  <w:num w:numId="6" w16cid:durableId="367923267">
    <w:abstractNumId w:val="1"/>
  </w:num>
  <w:num w:numId="7" w16cid:durableId="277374110">
    <w:abstractNumId w:val="7"/>
  </w:num>
  <w:num w:numId="8" w16cid:durableId="1830294455">
    <w:abstractNumId w:val="2"/>
  </w:num>
  <w:num w:numId="9" w16cid:durableId="15347653">
    <w:abstractNumId w:val="6"/>
  </w:num>
  <w:num w:numId="10" w16cid:durableId="1047878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0C77"/>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2A27"/>
    <w:rsid w:val="001736C3"/>
    <w:rsid w:val="001750D4"/>
    <w:rsid w:val="00177B40"/>
    <w:rsid w:val="00180D2B"/>
    <w:rsid w:val="001868B0"/>
    <w:rsid w:val="0019612A"/>
    <w:rsid w:val="00196150"/>
    <w:rsid w:val="00197B67"/>
    <w:rsid w:val="001A2BE9"/>
    <w:rsid w:val="001A3279"/>
    <w:rsid w:val="001A35D8"/>
    <w:rsid w:val="001A7295"/>
    <w:rsid w:val="001D0B63"/>
    <w:rsid w:val="001D24EB"/>
    <w:rsid w:val="001D2A23"/>
    <w:rsid w:val="001D56A1"/>
    <w:rsid w:val="001D5B08"/>
    <w:rsid w:val="001D6865"/>
    <w:rsid w:val="001D6F46"/>
    <w:rsid w:val="001D7BC6"/>
    <w:rsid w:val="001E3216"/>
    <w:rsid w:val="001E3F12"/>
    <w:rsid w:val="001E6413"/>
    <w:rsid w:val="001E7283"/>
    <w:rsid w:val="001E79D3"/>
    <w:rsid w:val="001E7C67"/>
    <w:rsid w:val="00200F3E"/>
    <w:rsid w:val="002012BE"/>
    <w:rsid w:val="0020470D"/>
    <w:rsid w:val="00204A8F"/>
    <w:rsid w:val="00204F64"/>
    <w:rsid w:val="00205E09"/>
    <w:rsid w:val="00206F89"/>
    <w:rsid w:val="00207F3F"/>
    <w:rsid w:val="0021253E"/>
    <w:rsid w:val="002201BB"/>
    <w:rsid w:val="0022730C"/>
    <w:rsid w:val="00235CEF"/>
    <w:rsid w:val="00240817"/>
    <w:rsid w:val="00243B3D"/>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521C"/>
    <w:rsid w:val="00294B90"/>
    <w:rsid w:val="002A00E3"/>
    <w:rsid w:val="002A384D"/>
    <w:rsid w:val="002A56F2"/>
    <w:rsid w:val="002A6CC2"/>
    <w:rsid w:val="002B2214"/>
    <w:rsid w:val="002B5964"/>
    <w:rsid w:val="002C5A50"/>
    <w:rsid w:val="002C7D85"/>
    <w:rsid w:val="002D3A73"/>
    <w:rsid w:val="002D6DD1"/>
    <w:rsid w:val="002E4CEE"/>
    <w:rsid w:val="002E7E05"/>
    <w:rsid w:val="002F241C"/>
    <w:rsid w:val="0031007A"/>
    <w:rsid w:val="00317CE8"/>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C07B9"/>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67F69"/>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B7867"/>
    <w:rsid w:val="004C2F5D"/>
    <w:rsid w:val="004D1DCF"/>
    <w:rsid w:val="004D2558"/>
    <w:rsid w:val="004D71E0"/>
    <w:rsid w:val="004E0773"/>
    <w:rsid w:val="004E077B"/>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48B"/>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773B0"/>
    <w:rsid w:val="0068498A"/>
    <w:rsid w:val="006908ED"/>
    <w:rsid w:val="006929A7"/>
    <w:rsid w:val="00697E27"/>
    <w:rsid w:val="006A0DEF"/>
    <w:rsid w:val="006A273B"/>
    <w:rsid w:val="006A4AF2"/>
    <w:rsid w:val="006B0DFE"/>
    <w:rsid w:val="006B2293"/>
    <w:rsid w:val="006B4904"/>
    <w:rsid w:val="006C51E1"/>
    <w:rsid w:val="006C60E5"/>
    <w:rsid w:val="006D0CE7"/>
    <w:rsid w:val="006D1041"/>
    <w:rsid w:val="006D7214"/>
    <w:rsid w:val="006E705D"/>
    <w:rsid w:val="006F3735"/>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7F5CE1"/>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08FF"/>
    <w:rsid w:val="00856875"/>
    <w:rsid w:val="00856F05"/>
    <w:rsid w:val="00860BBA"/>
    <w:rsid w:val="008657ED"/>
    <w:rsid w:val="008730A3"/>
    <w:rsid w:val="00877A79"/>
    <w:rsid w:val="0088059B"/>
    <w:rsid w:val="00885D92"/>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0C"/>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48E9"/>
    <w:rsid w:val="009E5E1E"/>
    <w:rsid w:val="009E5FA5"/>
    <w:rsid w:val="009E7806"/>
    <w:rsid w:val="009F0097"/>
    <w:rsid w:val="009F21F7"/>
    <w:rsid w:val="00A03379"/>
    <w:rsid w:val="00A03C7B"/>
    <w:rsid w:val="00A057F8"/>
    <w:rsid w:val="00A141CD"/>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25C9"/>
    <w:rsid w:val="00AD61AD"/>
    <w:rsid w:val="00AD66CC"/>
    <w:rsid w:val="00AE0CE4"/>
    <w:rsid w:val="00AF4C8F"/>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76DF9"/>
    <w:rsid w:val="00B82011"/>
    <w:rsid w:val="00B83FA9"/>
    <w:rsid w:val="00B85E92"/>
    <w:rsid w:val="00B861E2"/>
    <w:rsid w:val="00B86A58"/>
    <w:rsid w:val="00B87942"/>
    <w:rsid w:val="00B938D4"/>
    <w:rsid w:val="00B94699"/>
    <w:rsid w:val="00B94CFF"/>
    <w:rsid w:val="00B9510B"/>
    <w:rsid w:val="00BA015E"/>
    <w:rsid w:val="00BB308F"/>
    <w:rsid w:val="00BC2333"/>
    <w:rsid w:val="00BC3CC5"/>
    <w:rsid w:val="00BC55B5"/>
    <w:rsid w:val="00BC6729"/>
    <w:rsid w:val="00BD2CAF"/>
    <w:rsid w:val="00BD3E3A"/>
    <w:rsid w:val="00BE12C6"/>
    <w:rsid w:val="00BE35BF"/>
    <w:rsid w:val="00BE41EC"/>
    <w:rsid w:val="00BE571D"/>
    <w:rsid w:val="00BE68B9"/>
    <w:rsid w:val="00C073E6"/>
    <w:rsid w:val="00C1537A"/>
    <w:rsid w:val="00C15CB2"/>
    <w:rsid w:val="00C3070D"/>
    <w:rsid w:val="00C34CAB"/>
    <w:rsid w:val="00C36272"/>
    <w:rsid w:val="00C41D1E"/>
    <w:rsid w:val="00C42103"/>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043E"/>
    <w:rsid w:val="00E63E7F"/>
    <w:rsid w:val="00E74BCD"/>
    <w:rsid w:val="00E7743E"/>
    <w:rsid w:val="00E808F4"/>
    <w:rsid w:val="00E80B61"/>
    <w:rsid w:val="00E85401"/>
    <w:rsid w:val="00E8657B"/>
    <w:rsid w:val="00E914A6"/>
    <w:rsid w:val="00E96199"/>
    <w:rsid w:val="00EA041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92AFD"/>
    <w:rsid w:val="00FB4AAC"/>
    <w:rsid w:val="00FB51FB"/>
    <w:rsid w:val="00FB613A"/>
    <w:rsid w:val="00FB64D7"/>
    <w:rsid w:val="00FB7AB2"/>
    <w:rsid w:val="00FC1D6B"/>
    <w:rsid w:val="00FC51A5"/>
    <w:rsid w:val="00FC7D7D"/>
    <w:rsid w:val="00FD3228"/>
    <w:rsid w:val="00FD3B25"/>
    <w:rsid w:val="00FE1370"/>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aconcuadrcula6111">
    <w:name w:val="Tabla con cuadrícula6111"/>
    <w:uiPriority w:val="59"/>
    <w:qFormat/>
    <w:rsid w:val="008508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4264</Words>
  <Characters>23458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2024-10-17T15:07:00Z</cp:lastPrinted>
  <dcterms:created xsi:type="dcterms:W3CDTF">2024-10-16T23:17:00Z</dcterms:created>
  <dcterms:modified xsi:type="dcterms:W3CDTF">2024-10-18T19:01:00Z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