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67" w:rsidRPr="002B5F42" w:rsidRDefault="00FE2CA2" w:rsidP="00130D4F">
      <w:pPr>
        <w:pStyle w:val="Predeterminado"/>
        <w:ind w:left="5387" w:right="51" w:hanging="284"/>
        <w:jc w:val="right"/>
        <w:rPr>
          <w:rFonts w:ascii="Verdana" w:hAnsi="Verdana" w:cs="Tahoma"/>
          <w:b/>
          <w:i/>
          <w:sz w:val="18"/>
          <w:szCs w:val="18"/>
        </w:rPr>
      </w:pPr>
      <w:bookmarkStart w:id="0" w:name="_GoBack"/>
      <w:bookmarkEnd w:id="0"/>
      <w:r w:rsidRPr="00130D4F">
        <w:rPr>
          <w:rFonts w:ascii="Verdana" w:hAnsi="Verdana" w:cs="Tahoma"/>
          <w:b/>
          <w:sz w:val="18"/>
          <w:szCs w:val="18"/>
        </w:rPr>
        <w:t>Aprobación:</w:t>
      </w:r>
      <w:r w:rsidR="00E01B67">
        <w:rPr>
          <w:rFonts w:ascii="Verdana" w:hAnsi="Verdana" w:cs="Tahoma"/>
          <w:b/>
          <w:sz w:val="18"/>
          <w:szCs w:val="18"/>
        </w:rPr>
        <w:t xml:space="preserve"> </w:t>
      </w:r>
      <w:r w:rsidR="000D7101">
        <w:rPr>
          <w:rFonts w:ascii="Verdana" w:hAnsi="Verdana" w:cs="Tahoma"/>
          <w:i/>
          <w:sz w:val="18"/>
          <w:szCs w:val="18"/>
        </w:rPr>
        <w:t>29</w:t>
      </w:r>
      <w:r w:rsidR="0068650D">
        <w:rPr>
          <w:rFonts w:ascii="Verdana" w:hAnsi="Verdana" w:cs="Tahoma"/>
          <w:i/>
          <w:sz w:val="18"/>
          <w:szCs w:val="18"/>
        </w:rPr>
        <w:t xml:space="preserve"> de </w:t>
      </w:r>
      <w:r w:rsidR="000D7101">
        <w:rPr>
          <w:rFonts w:ascii="Verdana" w:hAnsi="Verdana" w:cs="Tahoma"/>
          <w:i/>
          <w:sz w:val="18"/>
          <w:szCs w:val="18"/>
        </w:rPr>
        <w:t>junio</w:t>
      </w:r>
      <w:r w:rsidR="00E01B67" w:rsidRPr="002B5F42">
        <w:rPr>
          <w:rFonts w:ascii="Verdana" w:hAnsi="Verdana" w:cs="Tahoma"/>
          <w:i/>
          <w:sz w:val="18"/>
          <w:szCs w:val="18"/>
        </w:rPr>
        <w:t xml:space="preserve"> de 201</w:t>
      </w:r>
      <w:r w:rsidR="0068650D">
        <w:rPr>
          <w:rFonts w:ascii="Verdana" w:hAnsi="Verdana" w:cs="Tahoma"/>
          <w:i/>
          <w:sz w:val="18"/>
          <w:szCs w:val="18"/>
        </w:rPr>
        <w:t>7</w:t>
      </w:r>
      <w:r w:rsidR="00E01B67" w:rsidRPr="002B5F42">
        <w:rPr>
          <w:rFonts w:ascii="Verdana" w:hAnsi="Verdana" w:cs="Tahoma"/>
          <w:i/>
          <w:sz w:val="18"/>
          <w:szCs w:val="18"/>
        </w:rPr>
        <w:t>.</w:t>
      </w:r>
    </w:p>
    <w:p w:rsidR="00C75B5A" w:rsidRPr="00E01B67" w:rsidRDefault="00FE2CA2" w:rsidP="000D7101">
      <w:pPr>
        <w:pStyle w:val="Predeterminado"/>
        <w:ind w:left="5387" w:right="51" w:hanging="284"/>
        <w:jc w:val="right"/>
        <w:rPr>
          <w:i/>
        </w:rPr>
      </w:pPr>
      <w:r w:rsidRPr="00130D4F">
        <w:rPr>
          <w:rFonts w:ascii="Verdana" w:hAnsi="Verdana" w:cs="Tahoma"/>
          <w:b/>
          <w:sz w:val="18"/>
          <w:szCs w:val="18"/>
        </w:rPr>
        <w:t>Publicado:</w:t>
      </w:r>
      <w:r w:rsidR="009B56F5">
        <w:rPr>
          <w:rFonts w:ascii="Verdana" w:hAnsi="Verdana" w:cs="Tahoma"/>
          <w:b/>
          <w:sz w:val="18"/>
          <w:szCs w:val="18"/>
        </w:rPr>
        <w:t xml:space="preserve"> </w:t>
      </w:r>
      <w:r w:rsidR="000D7101">
        <w:rPr>
          <w:rFonts w:ascii="Verdana" w:hAnsi="Verdana" w:cs="Tahoma"/>
          <w:i/>
          <w:sz w:val="18"/>
          <w:szCs w:val="18"/>
        </w:rPr>
        <w:t>29 de junio</w:t>
      </w:r>
      <w:r w:rsidR="000D7101" w:rsidRPr="002B5F42">
        <w:rPr>
          <w:rFonts w:ascii="Verdana" w:hAnsi="Verdana" w:cs="Tahoma"/>
          <w:i/>
          <w:sz w:val="18"/>
          <w:szCs w:val="18"/>
        </w:rPr>
        <w:t xml:space="preserve"> de 201</w:t>
      </w:r>
      <w:r w:rsidR="000D7101">
        <w:rPr>
          <w:rFonts w:ascii="Verdana" w:hAnsi="Verdana" w:cs="Tahoma"/>
          <w:i/>
          <w:sz w:val="18"/>
          <w:szCs w:val="18"/>
        </w:rPr>
        <w:t>7</w:t>
      </w:r>
      <w:r w:rsidR="000D7101" w:rsidRPr="002B5F42">
        <w:rPr>
          <w:rFonts w:ascii="Verdana" w:hAnsi="Verdana" w:cs="Tahoma"/>
          <w:i/>
          <w:sz w:val="18"/>
          <w:szCs w:val="18"/>
        </w:rPr>
        <w:t>.</w:t>
      </w:r>
      <w:r w:rsidR="000D7101">
        <w:rPr>
          <w:rFonts w:ascii="Verdana" w:hAnsi="Verdana" w:cs="Tahoma"/>
          <w:i/>
          <w:sz w:val="18"/>
          <w:szCs w:val="18"/>
        </w:rPr>
        <w:t xml:space="preserve"> </w:t>
      </w:r>
      <w:r w:rsidRPr="00130D4F">
        <w:rPr>
          <w:rFonts w:ascii="Verdana" w:hAnsi="Verdana" w:cs="Tahoma"/>
          <w:b/>
          <w:sz w:val="18"/>
          <w:szCs w:val="18"/>
        </w:rPr>
        <w:t>Vigente:</w:t>
      </w:r>
      <w:r w:rsidR="00E01B67">
        <w:rPr>
          <w:rFonts w:ascii="Verdana" w:hAnsi="Verdana" w:cs="Tahoma"/>
          <w:b/>
          <w:sz w:val="18"/>
          <w:szCs w:val="18"/>
        </w:rPr>
        <w:t xml:space="preserve"> </w:t>
      </w:r>
      <w:r w:rsidR="002B5F42" w:rsidRPr="002B5F42">
        <w:rPr>
          <w:rFonts w:ascii="Verdana" w:hAnsi="Verdana" w:cs="Tahoma"/>
          <w:i/>
          <w:sz w:val="18"/>
          <w:szCs w:val="18"/>
        </w:rPr>
        <w:t xml:space="preserve">01 de </w:t>
      </w:r>
      <w:r w:rsidR="000D7101">
        <w:rPr>
          <w:rFonts w:ascii="Verdana" w:hAnsi="Verdana" w:cs="Tahoma"/>
          <w:i/>
          <w:sz w:val="18"/>
          <w:szCs w:val="18"/>
        </w:rPr>
        <w:t>julio</w:t>
      </w:r>
      <w:r w:rsidR="002B5F42" w:rsidRPr="002B5F42">
        <w:rPr>
          <w:rFonts w:ascii="Verdana" w:hAnsi="Verdana" w:cs="Tahoma"/>
          <w:i/>
          <w:sz w:val="18"/>
          <w:szCs w:val="18"/>
        </w:rPr>
        <w:t xml:space="preserve"> del año</w:t>
      </w:r>
      <w:r w:rsidR="00E01B67" w:rsidRPr="002B5F42">
        <w:rPr>
          <w:rFonts w:ascii="Verdana" w:hAnsi="Verdana" w:cs="Tahoma"/>
          <w:i/>
          <w:sz w:val="18"/>
          <w:szCs w:val="18"/>
        </w:rPr>
        <w:t xml:space="preserve"> 201</w:t>
      </w:r>
      <w:r w:rsidR="00966835">
        <w:rPr>
          <w:rFonts w:ascii="Verdana" w:hAnsi="Verdana" w:cs="Tahoma"/>
          <w:i/>
          <w:sz w:val="18"/>
          <w:szCs w:val="18"/>
        </w:rPr>
        <w:t>7</w:t>
      </w:r>
      <w:r w:rsidR="00E01B67" w:rsidRPr="002B5F42">
        <w:rPr>
          <w:rFonts w:ascii="Verdana" w:hAnsi="Verdana" w:cs="Tahoma"/>
          <w:i/>
          <w:sz w:val="18"/>
          <w:szCs w:val="18"/>
        </w:rPr>
        <w:t>.</w:t>
      </w:r>
      <w:r w:rsidR="00130D4F" w:rsidRPr="00E01B67">
        <w:rPr>
          <w:rFonts w:ascii="Verdana" w:hAnsi="Verdana" w:cs="Tahoma"/>
          <w:i/>
          <w:sz w:val="18"/>
          <w:szCs w:val="18"/>
        </w:rPr>
        <w:t xml:space="preserve"> </w:t>
      </w:r>
    </w:p>
    <w:p w:rsidR="000D7101" w:rsidRDefault="000D7101" w:rsidP="000D7101">
      <w:pPr>
        <w:widowControl w:val="0"/>
        <w:autoSpaceDN w:val="0"/>
        <w:jc w:val="both"/>
        <w:textAlignment w:val="baseline"/>
        <w:rPr>
          <w:rFonts w:ascii="Verdana" w:eastAsia="SimSun" w:hAnsi="Verdana" w:cs="Arial"/>
          <w:i/>
          <w:kern w:val="3"/>
          <w:sz w:val="21"/>
          <w:szCs w:val="21"/>
        </w:rPr>
      </w:pPr>
    </w:p>
    <w:p w:rsidR="000D7101" w:rsidRPr="00C441DA" w:rsidRDefault="000D7101" w:rsidP="000D7101">
      <w:pPr>
        <w:ind w:right="18"/>
        <w:jc w:val="center"/>
        <w:rPr>
          <w:rFonts w:ascii="Arial" w:hAnsi="Arial" w:cs="Arial"/>
          <w:b/>
          <w:bCs/>
          <w:sz w:val="21"/>
          <w:szCs w:val="21"/>
        </w:rPr>
      </w:pPr>
      <w:r w:rsidRPr="00C441DA">
        <w:rPr>
          <w:rFonts w:ascii="Arial" w:hAnsi="Arial" w:cs="Arial"/>
          <w:b/>
          <w:bCs/>
          <w:sz w:val="21"/>
          <w:szCs w:val="21"/>
        </w:rPr>
        <w:t xml:space="preserve">REGLAMENTO DE LAS POLÍTICAS PRESUPUESTALES Y LINEAMIENTOS DEL EJERCICIO DEL GASTO DEL MUNICIPIO DE TLAJOMULCO DE ZÚÑIGA, JALISCO. </w:t>
      </w:r>
    </w:p>
    <w:p w:rsidR="000D7101" w:rsidRPr="00C441DA" w:rsidRDefault="000D7101" w:rsidP="000D7101">
      <w:pPr>
        <w:ind w:right="18"/>
        <w:jc w:val="center"/>
        <w:rPr>
          <w:rFonts w:ascii="Arial" w:hAnsi="Arial" w:cs="Arial"/>
          <w:b/>
          <w:bCs/>
          <w:sz w:val="21"/>
          <w:szCs w:val="21"/>
        </w:rPr>
      </w:pPr>
    </w:p>
    <w:p w:rsidR="000D7101" w:rsidRPr="00C441DA" w:rsidRDefault="000D7101" w:rsidP="000D7101">
      <w:pPr>
        <w:ind w:right="18"/>
        <w:jc w:val="center"/>
        <w:rPr>
          <w:rFonts w:ascii="Arial" w:hAnsi="Arial" w:cs="Arial"/>
          <w:b/>
          <w:bCs/>
          <w:sz w:val="21"/>
          <w:szCs w:val="21"/>
        </w:rPr>
      </w:pPr>
    </w:p>
    <w:p w:rsidR="000D7101" w:rsidRPr="00C441DA" w:rsidRDefault="000D7101" w:rsidP="000D7101">
      <w:pPr>
        <w:ind w:right="18"/>
        <w:jc w:val="center"/>
        <w:rPr>
          <w:rFonts w:ascii="Arial" w:hAnsi="Arial" w:cs="Arial"/>
          <w:b/>
          <w:bCs/>
          <w:sz w:val="21"/>
          <w:szCs w:val="21"/>
        </w:rPr>
      </w:pPr>
      <w:r w:rsidRPr="00C441DA">
        <w:rPr>
          <w:rFonts w:ascii="Arial" w:hAnsi="Arial" w:cs="Arial"/>
          <w:b/>
          <w:bCs/>
          <w:sz w:val="21"/>
          <w:szCs w:val="21"/>
        </w:rPr>
        <w:t>TÍTULO PRIMERO</w:t>
      </w:r>
    </w:p>
    <w:p w:rsidR="000D7101" w:rsidRPr="00C441DA" w:rsidRDefault="000D7101" w:rsidP="000D7101">
      <w:pPr>
        <w:ind w:right="18"/>
        <w:jc w:val="center"/>
        <w:rPr>
          <w:rFonts w:ascii="Arial" w:hAnsi="Arial" w:cs="Arial"/>
          <w:b/>
          <w:bCs/>
          <w:sz w:val="21"/>
          <w:szCs w:val="21"/>
        </w:rPr>
      </w:pPr>
      <w:r w:rsidRPr="00C441DA">
        <w:rPr>
          <w:rFonts w:ascii="Arial" w:hAnsi="Arial" w:cs="Arial"/>
          <w:b/>
          <w:bCs/>
          <w:sz w:val="21"/>
          <w:szCs w:val="21"/>
        </w:rPr>
        <w:t>DISPOSICIONES GENERALES</w:t>
      </w:r>
    </w:p>
    <w:p w:rsidR="000D7101" w:rsidRPr="00C441DA" w:rsidRDefault="000D7101" w:rsidP="000D7101">
      <w:pPr>
        <w:ind w:right="18"/>
        <w:jc w:val="center"/>
        <w:rPr>
          <w:rFonts w:ascii="Arial" w:hAnsi="Arial" w:cs="Arial"/>
          <w:b/>
          <w:bCs/>
          <w:sz w:val="21"/>
          <w:szCs w:val="21"/>
        </w:rPr>
      </w:pPr>
    </w:p>
    <w:p w:rsidR="000D7101" w:rsidRPr="00C441DA" w:rsidRDefault="000D7101" w:rsidP="000D7101">
      <w:pPr>
        <w:ind w:right="18"/>
        <w:jc w:val="center"/>
        <w:rPr>
          <w:rFonts w:ascii="Arial" w:hAnsi="Arial" w:cs="Arial"/>
          <w:b/>
          <w:bCs/>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 xml:space="preserve">ARTÍCULO 1.- </w:t>
      </w:r>
      <w:r w:rsidRPr="00C441DA">
        <w:rPr>
          <w:rFonts w:ascii="Arial" w:hAnsi="Arial" w:cs="Arial"/>
          <w:bCs/>
          <w:sz w:val="21"/>
          <w:szCs w:val="21"/>
        </w:rPr>
        <w:t xml:space="preserve">El presente Reglamento es de orden e interés público </w:t>
      </w:r>
      <w:r w:rsidRPr="00C441DA">
        <w:rPr>
          <w:rFonts w:ascii="Arial" w:hAnsi="Arial" w:cs="Arial"/>
          <w:sz w:val="21"/>
          <w:szCs w:val="21"/>
        </w:rPr>
        <w:t xml:space="preserve">que tiene por objeto establecer las políticas control presupuestario de aplicación general y obligatoria, así como las normas para el correcto ejercicio del gasto público de las Dependencias y Unidades Ejecutoras del Gasto de la administración pública municipal centralizada y Paramunicipal, del Municipio de Tlajomulco de Zúñiga, Jalisco, las cuales deberán observar en el ejercicio, registro, control y evaluación del gasto público del Presupuesto de Egresos para el ejercicios fiscales del Municipio. </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sz w:val="21"/>
          <w:szCs w:val="21"/>
        </w:rPr>
      </w:pPr>
      <w:r w:rsidRPr="00C441DA">
        <w:rPr>
          <w:rFonts w:ascii="Arial" w:hAnsi="Arial" w:cs="Arial"/>
          <w:b/>
          <w:sz w:val="21"/>
          <w:szCs w:val="21"/>
        </w:rPr>
        <w:t>ARTÍCULO 2.-</w:t>
      </w:r>
      <w:r w:rsidRPr="00C441DA">
        <w:rPr>
          <w:rFonts w:ascii="Arial" w:hAnsi="Arial" w:cs="Arial"/>
          <w:sz w:val="21"/>
          <w:szCs w:val="21"/>
        </w:rPr>
        <w:t xml:space="preserve"> El presente Reglamento se expide con fundamento en lo dispuesto por los artículos 115 fracción II de la Constitución Política de los Estados Unidos Mexicanos, 77 fracción II de la Constitución Política del Estado de Jalisco; 1, 2 de la Ley General de Contabilidad Gubernamental; 1 y 4 de la Ley de Disciplina Financiera de Las Entidades Federativas y los Municipios;</w:t>
      </w:r>
      <w:r w:rsidRPr="00C441DA">
        <w:rPr>
          <w:sz w:val="21"/>
          <w:szCs w:val="21"/>
        </w:rPr>
        <w:t xml:space="preserve"> </w:t>
      </w:r>
      <w:r w:rsidRPr="00C441DA">
        <w:rPr>
          <w:rFonts w:ascii="Arial" w:hAnsi="Arial" w:cs="Arial"/>
          <w:sz w:val="21"/>
          <w:szCs w:val="21"/>
        </w:rPr>
        <w:t>1, 2 fracción VI de la Ley de Deuda Pública y Disciplina Financiera del Estado de Jalisco y sus Municipios; 1, 201 y 202 de la Ley de Hacienda Municipal del Estado de Jalisco; 2, 3, 5 y 6 de la Ley de Austeridad y Ahorro del Estado de Jalisco y sus Municipios; 37 fracciones II y VI, 40 fracción II y 44 de la Ley del Gobierno y la Administración Pública Municipal del Estado de Jalisco y demás aplicables.</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p>
    <w:p w:rsidR="000D7101" w:rsidRPr="00C441DA" w:rsidRDefault="000D7101" w:rsidP="000D7101">
      <w:pPr>
        <w:pStyle w:val="Estilo"/>
        <w:ind w:right="18"/>
        <w:rPr>
          <w:rFonts w:cs="Arial"/>
          <w:sz w:val="21"/>
          <w:szCs w:val="21"/>
        </w:rPr>
      </w:pPr>
      <w:r w:rsidRPr="00C441DA">
        <w:rPr>
          <w:rFonts w:cs="Arial"/>
          <w:b/>
          <w:sz w:val="21"/>
          <w:szCs w:val="21"/>
        </w:rPr>
        <w:t>ARTÍCULO 3.-</w:t>
      </w:r>
      <w:r w:rsidRPr="00C441DA">
        <w:rPr>
          <w:rFonts w:cs="Arial"/>
          <w:sz w:val="21"/>
          <w:szCs w:val="21"/>
        </w:rPr>
        <w:t xml:space="preserve"> Para efectos del presente Reglamento se entenderá por:</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widowControl/>
        <w:numPr>
          <w:ilvl w:val="0"/>
          <w:numId w:val="31"/>
        </w:numPr>
        <w:tabs>
          <w:tab w:val="clear" w:pos="708"/>
        </w:tabs>
        <w:suppressAutoHyphens w:val="0"/>
        <w:spacing w:line="240" w:lineRule="auto"/>
        <w:ind w:left="0" w:right="18" w:firstLine="0"/>
        <w:jc w:val="both"/>
        <w:rPr>
          <w:rFonts w:ascii="Arial" w:hAnsi="Arial" w:cs="Arial"/>
          <w:bCs/>
          <w:sz w:val="21"/>
          <w:szCs w:val="21"/>
        </w:rPr>
      </w:pPr>
      <w:r w:rsidRPr="00E972BF">
        <w:rPr>
          <w:rFonts w:ascii="Arial" w:hAnsi="Arial" w:cs="Arial"/>
          <w:sz w:val="21"/>
          <w:szCs w:val="21"/>
        </w:rPr>
        <w:t>Ampliación: Incremento</w:t>
      </w:r>
      <w:r w:rsidRPr="00C441DA">
        <w:rPr>
          <w:rFonts w:ascii="Arial" w:hAnsi="Arial" w:cs="Arial"/>
          <w:sz w:val="21"/>
          <w:szCs w:val="21"/>
        </w:rPr>
        <w:t xml:space="preserve"> de recursos al Presupuesto de Egresos para lo cual se requiere autorización por parte del Ayuntamiento;</w:t>
      </w:r>
    </w:p>
    <w:p w:rsidR="000D7101" w:rsidRPr="00C441DA" w:rsidRDefault="000D7101" w:rsidP="000D7101">
      <w:pPr>
        <w:pStyle w:val="Prrafodelista"/>
        <w:ind w:left="0" w:right="18"/>
        <w:jc w:val="both"/>
        <w:rPr>
          <w:rFonts w:ascii="Arial" w:hAnsi="Arial" w:cs="Arial"/>
          <w:bCs/>
          <w:sz w:val="21"/>
          <w:szCs w:val="21"/>
        </w:rPr>
      </w:pPr>
    </w:p>
    <w:p w:rsidR="000D7101" w:rsidRPr="00C441DA" w:rsidRDefault="000D7101" w:rsidP="000D7101">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sidRPr="00E972BF">
        <w:rPr>
          <w:rFonts w:ascii="Arial" w:hAnsi="Arial" w:cs="Arial"/>
          <w:sz w:val="21"/>
          <w:szCs w:val="21"/>
        </w:rPr>
        <w:t>Dependencias:</w:t>
      </w:r>
      <w:r w:rsidRPr="00C441DA">
        <w:rPr>
          <w:rFonts w:ascii="Arial" w:hAnsi="Arial" w:cs="Arial"/>
          <w:sz w:val="21"/>
          <w:szCs w:val="21"/>
        </w:rPr>
        <w:t xml:space="preserve"> Los Titulares de las áreas de primer nivel del Municipio siendo estas las siguientes: </w:t>
      </w:r>
    </w:p>
    <w:p w:rsidR="000D7101" w:rsidRPr="00C441DA" w:rsidRDefault="000D7101" w:rsidP="000D7101">
      <w:pPr>
        <w:pStyle w:val="Prrafodelista"/>
        <w:tabs>
          <w:tab w:val="clear" w:pos="708"/>
          <w:tab w:val="left" w:pos="709"/>
        </w:tabs>
        <w:ind w:left="0" w:right="18"/>
        <w:jc w:val="both"/>
        <w:rPr>
          <w:rFonts w:ascii="Arial" w:hAnsi="Arial" w:cs="Arial"/>
          <w:sz w:val="21"/>
          <w:szCs w:val="21"/>
        </w:rPr>
      </w:pPr>
    </w:p>
    <w:p w:rsidR="000D7101" w:rsidRPr="00C441DA" w:rsidRDefault="000D7101" w:rsidP="000D7101">
      <w:pPr>
        <w:pStyle w:val="Prrafodelista"/>
        <w:widowControl/>
        <w:numPr>
          <w:ilvl w:val="1"/>
          <w:numId w:val="31"/>
        </w:numPr>
        <w:tabs>
          <w:tab w:val="clear" w:pos="708"/>
          <w:tab w:val="left" w:pos="709"/>
        </w:tabs>
        <w:suppressAutoHyphens w:val="0"/>
        <w:spacing w:line="240" w:lineRule="auto"/>
        <w:ind w:left="1134" w:right="18" w:hanging="731"/>
        <w:jc w:val="both"/>
        <w:rPr>
          <w:rFonts w:ascii="Arial" w:hAnsi="Arial" w:cs="Arial"/>
          <w:sz w:val="21"/>
          <w:szCs w:val="21"/>
        </w:rPr>
      </w:pPr>
      <w:r w:rsidRPr="00C441DA">
        <w:rPr>
          <w:rFonts w:ascii="Arial" w:hAnsi="Arial" w:cs="Arial"/>
          <w:sz w:val="21"/>
          <w:szCs w:val="21"/>
        </w:rPr>
        <w:t>La Presidencia;</w:t>
      </w:r>
    </w:p>
    <w:p w:rsidR="000D7101" w:rsidRPr="00C441DA" w:rsidRDefault="000D7101" w:rsidP="000D7101">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sidRPr="00C441DA">
        <w:rPr>
          <w:rFonts w:ascii="Arial" w:eastAsia="DejaVu Sans" w:hAnsi="Arial" w:cs="Arial"/>
          <w:bCs/>
          <w:sz w:val="21"/>
          <w:szCs w:val="21"/>
          <w:lang w:val="es-MX" w:eastAsia="zh-CN"/>
        </w:rPr>
        <w:t>La Sindicatura</w:t>
      </w:r>
      <w:r w:rsidRPr="00C441DA">
        <w:rPr>
          <w:rFonts w:ascii="Arial" w:eastAsia="Verdana" w:hAnsi="Arial" w:cs="Arial"/>
          <w:bCs/>
          <w:sz w:val="21"/>
          <w:szCs w:val="21"/>
          <w:lang w:val="es-MX" w:eastAsia="zh-CN"/>
        </w:rPr>
        <w:t xml:space="preserve"> </w:t>
      </w:r>
      <w:r w:rsidRPr="00C441DA">
        <w:rPr>
          <w:rFonts w:ascii="Arial" w:eastAsia="DejaVu Sans" w:hAnsi="Arial" w:cs="Arial"/>
          <w:bCs/>
          <w:sz w:val="21"/>
          <w:szCs w:val="21"/>
          <w:lang w:val="es-MX" w:eastAsia="zh-CN"/>
        </w:rPr>
        <w:t>Municipal</w:t>
      </w:r>
      <w:r w:rsidRPr="00C441DA">
        <w:rPr>
          <w:rFonts w:ascii="Arial" w:eastAsia="Verdana" w:hAnsi="Arial" w:cs="Arial"/>
          <w:bCs/>
          <w:sz w:val="21"/>
          <w:szCs w:val="21"/>
          <w:lang w:val="es-MX" w:eastAsia="zh-CN"/>
        </w:rPr>
        <w:t>;</w:t>
      </w:r>
    </w:p>
    <w:p w:rsidR="000D7101" w:rsidRPr="00C441DA" w:rsidRDefault="000D7101" w:rsidP="000D7101">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sidRPr="00C441DA">
        <w:rPr>
          <w:rFonts w:ascii="Arial" w:eastAsia="Verdana" w:hAnsi="Arial" w:cs="Arial"/>
          <w:bCs/>
          <w:sz w:val="21"/>
          <w:szCs w:val="21"/>
          <w:lang w:val="es-MX" w:eastAsia="zh-CN"/>
        </w:rPr>
        <w:t xml:space="preserve">La </w:t>
      </w:r>
      <w:r w:rsidRPr="00C441DA">
        <w:rPr>
          <w:rFonts w:ascii="Arial" w:eastAsia="DejaVu Sans" w:hAnsi="Arial" w:cs="Arial"/>
          <w:bCs/>
          <w:sz w:val="21"/>
          <w:szCs w:val="21"/>
          <w:lang w:val="es-MX" w:eastAsia="zh-CN"/>
        </w:rPr>
        <w:t>Secretaría</w:t>
      </w:r>
      <w:r w:rsidRPr="00C441DA">
        <w:rPr>
          <w:rFonts w:ascii="Arial" w:eastAsia="Verdana" w:hAnsi="Arial" w:cs="Arial"/>
          <w:bCs/>
          <w:sz w:val="21"/>
          <w:szCs w:val="21"/>
          <w:lang w:val="es-MX" w:eastAsia="zh-CN"/>
        </w:rPr>
        <w:t xml:space="preserve"> </w:t>
      </w:r>
      <w:r w:rsidRPr="00C441DA">
        <w:rPr>
          <w:rFonts w:ascii="Arial" w:eastAsia="DejaVu Sans" w:hAnsi="Arial" w:cs="Arial"/>
          <w:bCs/>
          <w:sz w:val="21"/>
          <w:szCs w:val="21"/>
          <w:lang w:val="es-MX" w:eastAsia="zh-CN"/>
        </w:rPr>
        <w:t>General del Ayuntamiento</w:t>
      </w:r>
      <w:r w:rsidRPr="00C441DA">
        <w:rPr>
          <w:rFonts w:ascii="Arial" w:eastAsia="Verdana" w:hAnsi="Arial" w:cs="Arial"/>
          <w:bCs/>
          <w:sz w:val="21"/>
          <w:szCs w:val="21"/>
          <w:lang w:val="es-MX" w:eastAsia="zh-CN"/>
        </w:rPr>
        <w:t>;</w:t>
      </w:r>
    </w:p>
    <w:p w:rsidR="000D7101" w:rsidRPr="00C441DA" w:rsidRDefault="000D7101" w:rsidP="000D7101">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sidRPr="00C441DA">
        <w:rPr>
          <w:rFonts w:ascii="Arial" w:eastAsia="Verdana" w:hAnsi="Arial" w:cs="Arial"/>
          <w:bCs/>
          <w:sz w:val="21"/>
          <w:szCs w:val="21"/>
          <w:lang w:val="es-MX" w:eastAsia="zh-CN"/>
        </w:rPr>
        <w:t>La Tesorería Municipal;</w:t>
      </w:r>
    </w:p>
    <w:p w:rsidR="000D7101" w:rsidRPr="00C441DA" w:rsidRDefault="000D7101" w:rsidP="000D7101">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sidRPr="00C441DA">
        <w:rPr>
          <w:rFonts w:ascii="Arial" w:eastAsia="Verdana" w:hAnsi="Arial" w:cs="Arial"/>
          <w:bCs/>
          <w:sz w:val="21"/>
          <w:szCs w:val="21"/>
          <w:lang w:val="es-MX" w:eastAsia="zh-CN"/>
        </w:rPr>
        <w:t xml:space="preserve">La </w:t>
      </w:r>
      <w:r w:rsidRPr="00C441DA">
        <w:rPr>
          <w:rFonts w:ascii="Arial" w:eastAsia="DejaVu Sans" w:hAnsi="Arial" w:cs="Arial"/>
          <w:bCs/>
          <w:sz w:val="21"/>
          <w:szCs w:val="21"/>
          <w:lang w:val="es-MX" w:eastAsia="zh-CN"/>
        </w:rPr>
        <w:t>Contraloría</w:t>
      </w:r>
      <w:r w:rsidRPr="00C441DA">
        <w:rPr>
          <w:rFonts w:ascii="Arial" w:eastAsia="Verdana" w:hAnsi="Arial" w:cs="Arial"/>
          <w:bCs/>
          <w:sz w:val="21"/>
          <w:szCs w:val="21"/>
          <w:lang w:val="es-MX" w:eastAsia="zh-CN"/>
        </w:rPr>
        <w:t xml:space="preserve"> </w:t>
      </w:r>
      <w:r w:rsidRPr="00C441DA">
        <w:rPr>
          <w:rFonts w:ascii="Arial" w:eastAsia="DejaVu Sans" w:hAnsi="Arial" w:cs="Arial"/>
          <w:bCs/>
          <w:sz w:val="21"/>
          <w:szCs w:val="21"/>
          <w:lang w:val="es-MX" w:eastAsia="zh-CN"/>
        </w:rPr>
        <w:t>Municipal</w:t>
      </w:r>
      <w:r w:rsidRPr="00C441DA">
        <w:rPr>
          <w:rFonts w:ascii="Arial" w:eastAsia="Verdana" w:hAnsi="Arial" w:cs="Arial"/>
          <w:bCs/>
          <w:sz w:val="21"/>
          <w:szCs w:val="21"/>
          <w:lang w:val="es-MX" w:eastAsia="zh-CN"/>
        </w:rPr>
        <w:t>;</w:t>
      </w:r>
    </w:p>
    <w:p w:rsidR="000D7101" w:rsidRPr="00C441DA" w:rsidRDefault="000D7101" w:rsidP="000D7101">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sidRPr="00C441DA">
        <w:rPr>
          <w:rFonts w:ascii="Arial" w:hAnsi="Arial" w:cs="Arial"/>
          <w:bCs/>
          <w:sz w:val="21"/>
          <w:szCs w:val="21"/>
        </w:rPr>
        <w:t>La Coordinación  General de Servicios Municipales;</w:t>
      </w:r>
    </w:p>
    <w:p w:rsidR="000D7101" w:rsidRPr="00C441DA" w:rsidRDefault="000D7101" w:rsidP="000D7101">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sidRPr="00C441DA">
        <w:rPr>
          <w:rFonts w:ascii="Arial" w:hAnsi="Arial" w:cs="Arial"/>
          <w:bCs/>
          <w:sz w:val="21"/>
          <w:szCs w:val="21"/>
        </w:rPr>
        <w:t>La Coordinación General de Participación Ciudadana y Construcción de Comunidad;</w:t>
      </w:r>
    </w:p>
    <w:p w:rsidR="000D7101" w:rsidRPr="00C441DA" w:rsidRDefault="000D7101" w:rsidP="000D7101">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sidRPr="00C441DA">
        <w:rPr>
          <w:rFonts w:ascii="Arial" w:hAnsi="Arial" w:cs="Arial"/>
          <w:bCs/>
          <w:sz w:val="21"/>
          <w:szCs w:val="21"/>
        </w:rPr>
        <w:t xml:space="preserve">La Coordinación General de Desarrollo Económico y Combate a la Desigualdad; </w:t>
      </w:r>
    </w:p>
    <w:p w:rsidR="000D7101" w:rsidRPr="00C441DA" w:rsidRDefault="000D7101" w:rsidP="000D7101">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sidRPr="00C441DA">
        <w:rPr>
          <w:rFonts w:ascii="Arial" w:hAnsi="Arial" w:cs="Arial"/>
          <w:bCs/>
          <w:sz w:val="21"/>
          <w:szCs w:val="21"/>
        </w:rPr>
        <w:t>La Coordinación General de Administración e Innovación Gubernamental;</w:t>
      </w:r>
    </w:p>
    <w:p w:rsidR="000D7101" w:rsidRPr="00C441DA" w:rsidRDefault="000D7101" w:rsidP="000D7101">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sidRPr="00C441DA">
        <w:rPr>
          <w:rFonts w:ascii="Arial" w:eastAsia="Verdana" w:hAnsi="Arial" w:cs="Arial"/>
          <w:bCs/>
          <w:sz w:val="21"/>
          <w:szCs w:val="21"/>
          <w:lang w:val="es-MX" w:eastAsia="zh-CN"/>
        </w:rPr>
        <w:t xml:space="preserve">La </w:t>
      </w:r>
      <w:r w:rsidRPr="00C441DA">
        <w:rPr>
          <w:rFonts w:ascii="Arial" w:eastAsia="DejaVu Sans" w:hAnsi="Arial" w:cs="Arial"/>
          <w:bCs/>
          <w:sz w:val="21"/>
          <w:szCs w:val="21"/>
          <w:lang w:val="es-MX" w:eastAsia="zh-CN"/>
        </w:rPr>
        <w:t>Dirección</w:t>
      </w:r>
      <w:r w:rsidRPr="00C441DA">
        <w:rPr>
          <w:rFonts w:ascii="Arial" w:eastAsia="Verdana" w:hAnsi="Arial" w:cs="Arial"/>
          <w:bCs/>
          <w:sz w:val="21"/>
          <w:szCs w:val="21"/>
          <w:lang w:val="es-MX" w:eastAsia="zh-CN"/>
        </w:rPr>
        <w:t xml:space="preserve"> </w:t>
      </w:r>
      <w:r w:rsidRPr="00C441DA">
        <w:rPr>
          <w:rFonts w:ascii="Arial" w:eastAsia="DejaVu Sans" w:hAnsi="Arial" w:cs="Arial"/>
          <w:bCs/>
          <w:sz w:val="21"/>
          <w:szCs w:val="21"/>
          <w:lang w:val="es-MX" w:eastAsia="zh-CN"/>
        </w:rPr>
        <w:t>General de Ordenamiento Territorial</w:t>
      </w:r>
      <w:r w:rsidRPr="00C441DA">
        <w:rPr>
          <w:rFonts w:ascii="Arial" w:eastAsia="Verdana" w:hAnsi="Arial" w:cs="Arial"/>
          <w:bCs/>
          <w:sz w:val="21"/>
          <w:szCs w:val="21"/>
          <w:lang w:val="es-MX" w:eastAsia="zh-CN"/>
        </w:rPr>
        <w:t xml:space="preserve">; </w:t>
      </w:r>
    </w:p>
    <w:p w:rsidR="000D7101" w:rsidRPr="00C441DA" w:rsidRDefault="000D7101" w:rsidP="000D7101">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sidRPr="00C441DA">
        <w:rPr>
          <w:rFonts w:ascii="Arial" w:eastAsia="Verdana" w:hAnsi="Arial" w:cs="Arial"/>
          <w:bCs/>
          <w:sz w:val="21"/>
          <w:szCs w:val="21"/>
          <w:lang w:val="es-MX" w:eastAsia="zh-CN"/>
        </w:rPr>
        <w:lastRenderedPageBreak/>
        <w:t xml:space="preserve">La </w:t>
      </w:r>
      <w:r w:rsidRPr="00C441DA">
        <w:rPr>
          <w:rFonts w:ascii="Arial" w:eastAsia="DejaVu Sans" w:hAnsi="Arial" w:cs="Arial"/>
          <w:bCs/>
          <w:sz w:val="21"/>
          <w:szCs w:val="21"/>
          <w:lang w:val="es-MX" w:eastAsia="zh-CN"/>
        </w:rPr>
        <w:t>Dirección General de Obras Públicas; y</w:t>
      </w:r>
    </w:p>
    <w:p w:rsidR="000D7101" w:rsidRPr="00C441DA" w:rsidRDefault="000D7101" w:rsidP="000D7101">
      <w:pPr>
        <w:pStyle w:val="Prrafodelista"/>
        <w:numPr>
          <w:ilvl w:val="1"/>
          <w:numId w:val="31"/>
        </w:numPr>
        <w:tabs>
          <w:tab w:val="clear" w:pos="708"/>
          <w:tab w:val="left" w:pos="709"/>
        </w:tabs>
        <w:autoSpaceDN w:val="0"/>
        <w:spacing w:line="240" w:lineRule="auto"/>
        <w:ind w:left="1134" w:right="18" w:hanging="731"/>
        <w:jc w:val="both"/>
        <w:textAlignment w:val="baseline"/>
        <w:rPr>
          <w:rFonts w:ascii="Arial" w:eastAsia="DejaVu Sans" w:hAnsi="Arial" w:cs="Arial"/>
          <w:bCs/>
          <w:sz w:val="21"/>
          <w:szCs w:val="21"/>
          <w:lang w:val="es-MX" w:eastAsia="zh-CN"/>
        </w:rPr>
      </w:pPr>
      <w:r w:rsidRPr="00C441DA">
        <w:rPr>
          <w:rFonts w:ascii="Arial" w:eastAsia="Verdana" w:hAnsi="Arial" w:cs="Arial"/>
          <w:bCs/>
          <w:sz w:val="21"/>
          <w:szCs w:val="21"/>
          <w:lang w:val="es-MX" w:eastAsia="zh-CN"/>
        </w:rPr>
        <w:t>La Comisaria de la Policía Preventiva Municipal.</w:t>
      </w:r>
    </w:p>
    <w:p w:rsidR="000D7101" w:rsidRPr="00C441DA" w:rsidRDefault="000D7101" w:rsidP="000D7101">
      <w:pPr>
        <w:pStyle w:val="Prrafodelista"/>
        <w:ind w:left="0" w:right="18"/>
        <w:rPr>
          <w:rFonts w:ascii="Arial" w:hAnsi="Arial" w:cs="Arial"/>
          <w:sz w:val="21"/>
          <w:szCs w:val="21"/>
          <w:lang w:val="es-MX"/>
        </w:rPr>
      </w:pPr>
    </w:p>
    <w:p w:rsidR="000D7101" w:rsidRPr="00E972BF" w:rsidRDefault="000D7101" w:rsidP="000D7101">
      <w:pPr>
        <w:pStyle w:val="Prrafodelista"/>
        <w:widowControl/>
        <w:numPr>
          <w:ilvl w:val="0"/>
          <w:numId w:val="31"/>
        </w:numPr>
        <w:tabs>
          <w:tab w:val="clear" w:pos="708"/>
        </w:tabs>
        <w:suppressAutoHyphens w:val="0"/>
        <w:spacing w:line="240" w:lineRule="auto"/>
        <w:ind w:left="0" w:right="18" w:firstLine="0"/>
        <w:jc w:val="both"/>
        <w:rPr>
          <w:rFonts w:ascii="Arial" w:hAnsi="Arial" w:cs="Arial"/>
          <w:bCs/>
          <w:sz w:val="21"/>
          <w:szCs w:val="21"/>
        </w:rPr>
      </w:pPr>
      <w:r w:rsidRPr="00E972BF">
        <w:rPr>
          <w:rFonts w:ascii="Arial" w:hAnsi="Arial" w:cs="Arial"/>
          <w:bCs/>
          <w:sz w:val="21"/>
          <w:szCs w:val="21"/>
        </w:rPr>
        <w:t>Entidades Paramunicipales: Los organismos públicos descentralizados, las empresas de participación municipal mayoritaria y los fidei</w:t>
      </w:r>
      <w:r>
        <w:rPr>
          <w:rFonts w:ascii="Arial" w:hAnsi="Arial" w:cs="Arial"/>
          <w:bCs/>
          <w:sz w:val="21"/>
          <w:szCs w:val="21"/>
        </w:rPr>
        <w:t>comisos públicos del  Municipio;</w:t>
      </w:r>
    </w:p>
    <w:p w:rsidR="000D7101" w:rsidRPr="00E972BF" w:rsidRDefault="000D7101" w:rsidP="000D7101">
      <w:pPr>
        <w:pStyle w:val="Prrafodelista"/>
        <w:ind w:left="0" w:right="18"/>
        <w:jc w:val="both"/>
        <w:rPr>
          <w:rFonts w:ascii="Arial" w:hAnsi="Arial" w:cs="Arial"/>
          <w:bCs/>
          <w:sz w:val="21"/>
          <w:szCs w:val="21"/>
        </w:rPr>
      </w:pPr>
    </w:p>
    <w:p w:rsidR="000D7101" w:rsidRPr="00E972BF" w:rsidRDefault="000D7101" w:rsidP="000D7101">
      <w:pPr>
        <w:pStyle w:val="Prrafodelista"/>
        <w:widowControl/>
        <w:numPr>
          <w:ilvl w:val="0"/>
          <w:numId w:val="31"/>
        </w:numPr>
        <w:tabs>
          <w:tab w:val="clear" w:pos="708"/>
        </w:tabs>
        <w:suppressAutoHyphens w:val="0"/>
        <w:spacing w:line="240" w:lineRule="auto"/>
        <w:ind w:left="0" w:right="18" w:firstLine="0"/>
        <w:jc w:val="both"/>
        <w:rPr>
          <w:rFonts w:ascii="Arial" w:hAnsi="Arial" w:cs="Arial"/>
          <w:bCs/>
          <w:sz w:val="21"/>
          <w:szCs w:val="21"/>
        </w:rPr>
      </w:pPr>
      <w:r w:rsidRPr="00E972BF">
        <w:rPr>
          <w:rFonts w:ascii="Arial" w:hAnsi="Arial" w:cs="Arial"/>
          <w:bCs/>
          <w:sz w:val="21"/>
          <w:szCs w:val="21"/>
        </w:rPr>
        <w:t>Fuente de Financiamiento: El origen o procedencia de los ingresos que obtiene el Municipio para sostener el gasto público, tales como recursos fiscales, recursos estatales, recursos federales, aportaciones para fines específicos, donativos, entre otros;</w:t>
      </w:r>
    </w:p>
    <w:p w:rsidR="000D7101" w:rsidRPr="00E972BF" w:rsidRDefault="000D7101" w:rsidP="000D7101">
      <w:pPr>
        <w:pStyle w:val="Prrafodelista"/>
        <w:ind w:left="0" w:right="18"/>
        <w:rPr>
          <w:rFonts w:ascii="Arial" w:hAnsi="Arial" w:cs="Arial"/>
          <w:bCs/>
          <w:sz w:val="21"/>
          <w:szCs w:val="21"/>
        </w:rPr>
      </w:pPr>
    </w:p>
    <w:p w:rsidR="000D7101" w:rsidRPr="00E972BF" w:rsidRDefault="000D7101" w:rsidP="000D7101">
      <w:pPr>
        <w:pStyle w:val="Prrafodelista"/>
        <w:widowControl/>
        <w:numPr>
          <w:ilvl w:val="0"/>
          <w:numId w:val="31"/>
        </w:numPr>
        <w:tabs>
          <w:tab w:val="clear" w:pos="708"/>
        </w:tabs>
        <w:suppressAutoHyphens w:val="0"/>
        <w:spacing w:line="240" w:lineRule="auto"/>
        <w:ind w:left="0" w:right="18" w:firstLine="0"/>
        <w:jc w:val="both"/>
        <w:rPr>
          <w:rFonts w:ascii="Arial" w:hAnsi="Arial" w:cs="Arial"/>
          <w:bCs/>
          <w:sz w:val="21"/>
          <w:szCs w:val="21"/>
        </w:rPr>
      </w:pPr>
      <w:r w:rsidRPr="00E972BF">
        <w:rPr>
          <w:rFonts w:ascii="Arial" w:hAnsi="Arial" w:cs="Arial"/>
          <w:sz w:val="21"/>
          <w:szCs w:val="21"/>
        </w:rPr>
        <w:t>Gasto corriente: El monto correspondiente al gasto neto total, excluyendo los gastos por concepto de costo financiero, adeudos de ejercicios fiscales anteriores, combustibles utilizados para la generación de electricidad, inversión física y financiera directa del Municipio;</w:t>
      </w:r>
    </w:p>
    <w:p w:rsidR="000D7101" w:rsidRPr="00E972BF" w:rsidRDefault="000D7101" w:rsidP="000D7101">
      <w:pPr>
        <w:pStyle w:val="Prrafodelista"/>
        <w:ind w:left="0" w:right="18"/>
        <w:rPr>
          <w:rFonts w:ascii="Arial" w:hAnsi="Arial" w:cs="Arial"/>
          <w:sz w:val="21"/>
          <w:szCs w:val="21"/>
        </w:rPr>
      </w:pPr>
    </w:p>
    <w:p w:rsidR="000D7101" w:rsidRPr="00E972BF" w:rsidRDefault="000D7101" w:rsidP="000D7101">
      <w:pPr>
        <w:pStyle w:val="Prrafodelista"/>
        <w:widowControl/>
        <w:numPr>
          <w:ilvl w:val="0"/>
          <w:numId w:val="31"/>
        </w:numPr>
        <w:tabs>
          <w:tab w:val="clear" w:pos="708"/>
        </w:tabs>
        <w:suppressAutoHyphens w:val="0"/>
        <w:spacing w:line="240" w:lineRule="auto"/>
        <w:ind w:left="0" w:right="18" w:firstLine="0"/>
        <w:jc w:val="both"/>
        <w:rPr>
          <w:rFonts w:ascii="Arial" w:hAnsi="Arial" w:cs="Arial"/>
          <w:bCs/>
          <w:sz w:val="21"/>
          <w:szCs w:val="21"/>
        </w:rPr>
      </w:pPr>
      <w:r w:rsidRPr="00E972BF">
        <w:rPr>
          <w:rFonts w:ascii="Arial" w:hAnsi="Arial" w:cs="Arial"/>
          <w:sz w:val="21"/>
          <w:szCs w:val="21"/>
        </w:rPr>
        <w:t>Gasto público: Las erogaciones por concepto de gasto corriente, incluyendo los pagos de pasivo de la deuda pública, inversión física, inversión financiera, así como responsabilidad patrimonial, derivadas de la actividad institucional de las Dependencias, Unidades Ejecutoras de Gasto y Entidades Paramunicipales;</w:t>
      </w:r>
    </w:p>
    <w:p w:rsidR="000D7101" w:rsidRPr="00E972BF" w:rsidRDefault="000D7101" w:rsidP="000D7101">
      <w:pPr>
        <w:pStyle w:val="Prrafodelista"/>
        <w:ind w:left="0" w:right="18"/>
        <w:rPr>
          <w:rFonts w:ascii="Arial" w:hAnsi="Arial" w:cs="Arial"/>
          <w:sz w:val="21"/>
          <w:szCs w:val="21"/>
        </w:rPr>
      </w:pPr>
    </w:p>
    <w:p w:rsidR="000D7101" w:rsidRPr="00E972BF" w:rsidRDefault="000D7101" w:rsidP="000D7101">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sidRPr="00E972BF">
        <w:rPr>
          <w:rFonts w:ascii="Arial" w:hAnsi="Arial" w:cs="Arial"/>
          <w:sz w:val="21"/>
          <w:szCs w:val="21"/>
        </w:rPr>
        <w:t>Municipio: El Municipio de Tlajomulco de Zúñiga, Jalisco;</w:t>
      </w:r>
    </w:p>
    <w:p w:rsidR="000D7101" w:rsidRPr="00E972BF" w:rsidRDefault="000D7101" w:rsidP="000D7101">
      <w:pPr>
        <w:ind w:right="18"/>
        <w:jc w:val="both"/>
        <w:rPr>
          <w:rFonts w:ascii="Arial" w:hAnsi="Arial" w:cs="Arial"/>
          <w:sz w:val="21"/>
          <w:szCs w:val="21"/>
        </w:rPr>
      </w:pPr>
    </w:p>
    <w:p w:rsidR="000D7101" w:rsidRPr="00E972BF" w:rsidRDefault="000D7101" w:rsidP="000D7101">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sidRPr="00E972BF">
        <w:rPr>
          <w:rFonts w:ascii="Arial" w:hAnsi="Arial" w:cs="Arial"/>
          <w:sz w:val="21"/>
          <w:szCs w:val="21"/>
        </w:rPr>
        <w:t>Presupuesto de Egresos: El Presupuesto de Egresos del Municipio de Tlajomulco de Zúñiga, Jalisco, para el Ejercicio Fiscal correspondiente;</w:t>
      </w:r>
    </w:p>
    <w:p w:rsidR="000D7101" w:rsidRPr="00E972BF" w:rsidRDefault="000D7101" w:rsidP="000D7101">
      <w:pPr>
        <w:pStyle w:val="Prrafodelista"/>
        <w:tabs>
          <w:tab w:val="clear" w:pos="708"/>
          <w:tab w:val="left" w:pos="709"/>
        </w:tabs>
        <w:ind w:left="0" w:right="18"/>
        <w:jc w:val="both"/>
        <w:rPr>
          <w:rFonts w:ascii="Arial" w:hAnsi="Arial" w:cs="Arial"/>
          <w:sz w:val="21"/>
          <w:szCs w:val="21"/>
        </w:rPr>
      </w:pPr>
    </w:p>
    <w:p w:rsidR="000D7101" w:rsidRPr="00E972BF" w:rsidRDefault="000D7101" w:rsidP="000D7101">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sidRPr="00E972BF">
        <w:rPr>
          <w:rFonts w:ascii="Arial" w:hAnsi="Arial" w:cs="Arial"/>
          <w:sz w:val="21"/>
          <w:szCs w:val="21"/>
        </w:rPr>
        <w:t>Reglamento: El Reglamento de Políticas</w:t>
      </w:r>
      <w:r w:rsidRPr="00E972BF">
        <w:rPr>
          <w:rFonts w:ascii="Arial" w:hAnsi="Arial" w:cs="Arial"/>
          <w:bCs/>
          <w:sz w:val="21"/>
          <w:szCs w:val="21"/>
        </w:rPr>
        <w:t xml:space="preserve"> Presupuestales y Lineamientos del Ejercicio del Gasto;</w:t>
      </w:r>
    </w:p>
    <w:p w:rsidR="000D7101" w:rsidRPr="00E972BF" w:rsidRDefault="000D7101" w:rsidP="000D7101">
      <w:pPr>
        <w:pStyle w:val="Prrafodelista"/>
        <w:tabs>
          <w:tab w:val="left" w:pos="851"/>
        </w:tabs>
        <w:ind w:left="0" w:right="18"/>
        <w:jc w:val="both"/>
        <w:rPr>
          <w:rFonts w:ascii="Arial" w:hAnsi="Arial" w:cs="Arial"/>
          <w:bCs/>
          <w:sz w:val="21"/>
          <w:szCs w:val="21"/>
        </w:rPr>
      </w:pPr>
    </w:p>
    <w:p w:rsidR="000D7101" w:rsidRPr="00E972BF" w:rsidRDefault="000D7101" w:rsidP="000D7101">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sidRPr="00E972BF">
        <w:rPr>
          <w:rFonts w:ascii="Arial" w:hAnsi="Arial" w:cs="Arial"/>
          <w:sz w:val="21"/>
          <w:szCs w:val="21"/>
        </w:rPr>
        <w:t>Sistema: El sistema que se desarrolla en medios electrónicos para la operación diaria de la administración de las finanzas públicas del Municipio y sus Entidades Paramunicipales, cuya función es integrar las funciones de ingresos y egresos bajo un solo esquema, generando en forma automática la contabilidad;</w:t>
      </w:r>
    </w:p>
    <w:p w:rsidR="000D7101" w:rsidRPr="00E972BF" w:rsidRDefault="000D7101" w:rsidP="000D7101">
      <w:pPr>
        <w:pStyle w:val="Prrafodelista"/>
        <w:tabs>
          <w:tab w:val="clear" w:pos="708"/>
          <w:tab w:val="left" w:pos="709"/>
        </w:tabs>
        <w:ind w:left="0" w:right="18"/>
        <w:jc w:val="both"/>
        <w:rPr>
          <w:rFonts w:ascii="Arial" w:hAnsi="Arial" w:cs="Arial"/>
          <w:sz w:val="21"/>
          <w:szCs w:val="21"/>
        </w:rPr>
      </w:pPr>
    </w:p>
    <w:p w:rsidR="000D7101" w:rsidRPr="00E972BF" w:rsidRDefault="000D7101" w:rsidP="000D7101">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sidRPr="00E972BF">
        <w:rPr>
          <w:rFonts w:ascii="Arial" w:hAnsi="Arial" w:cs="Arial"/>
          <w:bCs/>
          <w:sz w:val="21"/>
          <w:szCs w:val="21"/>
        </w:rPr>
        <w:t>Tesorería: La Tesorería Municipal de Tlajomulco de Zúñiga; y</w:t>
      </w:r>
    </w:p>
    <w:p w:rsidR="000D7101" w:rsidRPr="00E972BF" w:rsidRDefault="000D7101" w:rsidP="000D7101">
      <w:pPr>
        <w:pStyle w:val="Prrafodelista"/>
        <w:ind w:left="0" w:right="18"/>
        <w:rPr>
          <w:rFonts w:ascii="Arial" w:hAnsi="Arial" w:cs="Arial"/>
          <w:sz w:val="21"/>
          <w:szCs w:val="21"/>
        </w:rPr>
      </w:pPr>
    </w:p>
    <w:p w:rsidR="000D7101" w:rsidRPr="00C441DA" w:rsidRDefault="000D7101" w:rsidP="000D7101">
      <w:pPr>
        <w:pStyle w:val="Prrafodelista"/>
        <w:widowControl/>
        <w:numPr>
          <w:ilvl w:val="0"/>
          <w:numId w:val="31"/>
        </w:numPr>
        <w:tabs>
          <w:tab w:val="clear" w:pos="708"/>
          <w:tab w:val="left" w:pos="709"/>
        </w:tabs>
        <w:suppressAutoHyphens w:val="0"/>
        <w:spacing w:line="240" w:lineRule="auto"/>
        <w:ind w:left="0" w:right="18" w:firstLine="0"/>
        <w:jc w:val="both"/>
        <w:rPr>
          <w:rFonts w:ascii="Arial" w:hAnsi="Arial" w:cs="Arial"/>
          <w:sz w:val="21"/>
          <w:szCs w:val="21"/>
        </w:rPr>
      </w:pPr>
      <w:r w:rsidRPr="00E972BF">
        <w:rPr>
          <w:rFonts w:ascii="Arial" w:hAnsi="Arial" w:cs="Arial"/>
          <w:sz w:val="21"/>
          <w:szCs w:val="21"/>
        </w:rPr>
        <w:t>Unidades Ejecutora de Gasto: Las áreas del Municipio encargadas de realizar las erogaciones del gasto público con cargo al</w:t>
      </w:r>
      <w:r w:rsidRPr="00C441DA">
        <w:rPr>
          <w:rFonts w:ascii="Arial" w:hAnsi="Arial" w:cs="Arial"/>
          <w:sz w:val="21"/>
          <w:szCs w:val="21"/>
        </w:rPr>
        <w:t xml:space="preserve"> Presupuesto de Egresos.</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Estilo"/>
        <w:ind w:right="18"/>
        <w:rPr>
          <w:sz w:val="21"/>
          <w:szCs w:val="21"/>
        </w:rPr>
      </w:pPr>
      <w:r w:rsidRPr="00C441DA">
        <w:rPr>
          <w:rFonts w:cs="Arial"/>
          <w:b/>
          <w:sz w:val="21"/>
          <w:szCs w:val="21"/>
        </w:rPr>
        <w:t xml:space="preserve">ARTÍCULO 4.- </w:t>
      </w:r>
      <w:r w:rsidRPr="00C441DA">
        <w:rPr>
          <w:sz w:val="21"/>
          <w:szCs w:val="21"/>
        </w:rPr>
        <w:t>A falta de disposición expresa en este Reglamento, se aplicará de manera supletoria las siguientes:</w:t>
      </w:r>
    </w:p>
    <w:p w:rsidR="000D7101" w:rsidRPr="00C441DA" w:rsidRDefault="000D7101" w:rsidP="000D7101">
      <w:pPr>
        <w:pStyle w:val="Estilo"/>
        <w:ind w:right="18"/>
        <w:rPr>
          <w:sz w:val="21"/>
          <w:szCs w:val="21"/>
        </w:rPr>
      </w:pPr>
    </w:p>
    <w:p w:rsidR="000D7101" w:rsidRPr="00C441DA" w:rsidRDefault="000D7101" w:rsidP="000D7101">
      <w:pPr>
        <w:pStyle w:val="Estilo"/>
        <w:ind w:right="18"/>
        <w:rPr>
          <w:sz w:val="21"/>
          <w:szCs w:val="21"/>
        </w:rPr>
      </w:pPr>
      <w:r w:rsidRPr="00C441DA">
        <w:rPr>
          <w:sz w:val="21"/>
          <w:szCs w:val="21"/>
        </w:rPr>
        <w:t>I.- La Ley General de Contabilidad Gubernamental;</w:t>
      </w:r>
    </w:p>
    <w:p w:rsidR="000D7101" w:rsidRPr="00C441DA" w:rsidRDefault="000D7101" w:rsidP="000D7101">
      <w:pPr>
        <w:pStyle w:val="Estilo"/>
        <w:ind w:right="18"/>
        <w:rPr>
          <w:sz w:val="21"/>
          <w:szCs w:val="21"/>
        </w:rPr>
      </w:pPr>
    </w:p>
    <w:p w:rsidR="000D7101" w:rsidRPr="00C441DA" w:rsidRDefault="000D7101" w:rsidP="000D7101">
      <w:pPr>
        <w:pStyle w:val="Estilo"/>
        <w:ind w:right="18"/>
        <w:rPr>
          <w:sz w:val="21"/>
          <w:szCs w:val="21"/>
        </w:rPr>
      </w:pPr>
      <w:r w:rsidRPr="00C441DA">
        <w:rPr>
          <w:rFonts w:cs="Arial"/>
          <w:sz w:val="21"/>
          <w:szCs w:val="21"/>
        </w:rPr>
        <w:t>II.- La Ley de Disciplina Financiera de Las Entidades Federativas y los Municipios;</w:t>
      </w:r>
      <w:r w:rsidRPr="00C441DA">
        <w:rPr>
          <w:sz w:val="21"/>
          <w:szCs w:val="21"/>
        </w:rPr>
        <w:t xml:space="preserve"> </w:t>
      </w:r>
    </w:p>
    <w:p w:rsidR="000D7101" w:rsidRPr="00C441DA" w:rsidRDefault="000D7101" w:rsidP="000D7101">
      <w:pPr>
        <w:pStyle w:val="Estilo"/>
        <w:ind w:right="18"/>
        <w:rPr>
          <w:sz w:val="21"/>
          <w:szCs w:val="21"/>
        </w:rPr>
      </w:pPr>
    </w:p>
    <w:p w:rsidR="000D7101" w:rsidRPr="00C441DA" w:rsidRDefault="000D7101" w:rsidP="000D7101">
      <w:pPr>
        <w:pStyle w:val="Estilo"/>
        <w:ind w:right="18"/>
        <w:rPr>
          <w:rFonts w:cs="Arial"/>
          <w:sz w:val="21"/>
          <w:szCs w:val="21"/>
        </w:rPr>
      </w:pPr>
      <w:r w:rsidRPr="00C441DA">
        <w:rPr>
          <w:rFonts w:cs="Arial"/>
          <w:sz w:val="21"/>
          <w:szCs w:val="21"/>
        </w:rPr>
        <w:t xml:space="preserve">III.- La Ley de Deuda Pública y Disciplina Financiera del Estado de Jalisco y sus Municipios; </w:t>
      </w:r>
    </w:p>
    <w:p w:rsidR="000D7101" w:rsidRPr="00C441DA" w:rsidRDefault="000D7101" w:rsidP="000D7101">
      <w:pPr>
        <w:pStyle w:val="Estilo"/>
        <w:ind w:right="18"/>
        <w:rPr>
          <w:rFonts w:cs="Arial"/>
          <w:sz w:val="21"/>
          <w:szCs w:val="21"/>
        </w:rPr>
      </w:pPr>
    </w:p>
    <w:p w:rsidR="000D7101" w:rsidRPr="00C441DA" w:rsidRDefault="000D7101" w:rsidP="000D7101">
      <w:pPr>
        <w:pStyle w:val="Estilo"/>
        <w:ind w:right="18"/>
        <w:rPr>
          <w:rFonts w:cs="Arial"/>
          <w:sz w:val="21"/>
          <w:szCs w:val="21"/>
        </w:rPr>
      </w:pPr>
      <w:r w:rsidRPr="00C441DA">
        <w:rPr>
          <w:rFonts w:cs="Arial"/>
          <w:sz w:val="21"/>
          <w:szCs w:val="21"/>
        </w:rPr>
        <w:t xml:space="preserve">IV.- La Ley de Hacienda Municipal del Estado de Jalisco; </w:t>
      </w:r>
    </w:p>
    <w:p w:rsidR="000D7101" w:rsidRPr="00C441DA" w:rsidRDefault="000D7101" w:rsidP="000D7101">
      <w:pPr>
        <w:pStyle w:val="Estilo"/>
        <w:ind w:right="18"/>
        <w:rPr>
          <w:rFonts w:cs="Arial"/>
          <w:sz w:val="21"/>
          <w:szCs w:val="21"/>
        </w:rPr>
      </w:pPr>
    </w:p>
    <w:p w:rsidR="000D7101" w:rsidRPr="00C441DA" w:rsidRDefault="000D7101" w:rsidP="000D7101">
      <w:pPr>
        <w:pStyle w:val="Estilo"/>
        <w:ind w:right="18"/>
        <w:rPr>
          <w:rFonts w:cs="Arial"/>
          <w:sz w:val="21"/>
          <w:szCs w:val="21"/>
        </w:rPr>
      </w:pPr>
      <w:r w:rsidRPr="00C441DA">
        <w:rPr>
          <w:rFonts w:cs="Arial"/>
          <w:sz w:val="21"/>
          <w:szCs w:val="21"/>
        </w:rPr>
        <w:t xml:space="preserve">V.- La Ley del Gobierno y la Administración Pública Municipal del Estado de Jalisco; </w:t>
      </w:r>
    </w:p>
    <w:p w:rsidR="000D7101" w:rsidRPr="00C441DA" w:rsidRDefault="000D7101" w:rsidP="000D7101">
      <w:pPr>
        <w:pStyle w:val="Estilo"/>
        <w:ind w:right="18"/>
        <w:rPr>
          <w:rFonts w:cs="Arial"/>
          <w:sz w:val="21"/>
          <w:szCs w:val="21"/>
        </w:rPr>
      </w:pPr>
    </w:p>
    <w:p w:rsidR="000D7101" w:rsidRPr="00C441DA" w:rsidRDefault="000D7101" w:rsidP="000D7101">
      <w:pPr>
        <w:pStyle w:val="Estilo"/>
        <w:ind w:right="18"/>
        <w:rPr>
          <w:rFonts w:cs="Arial"/>
          <w:sz w:val="21"/>
          <w:szCs w:val="21"/>
        </w:rPr>
      </w:pPr>
      <w:r w:rsidRPr="00C441DA">
        <w:rPr>
          <w:rFonts w:cs="Arial"/>
          <w:sz w:val="21"/>
          <w:szCs w:val="21"/>
        </w:rPr>
        <w:t xml:space="preserve">VI.- La Ley de Austeridad y Ahorro del Estado de Jalisco y sus Municipios; </w:t>
      </w:r>
    </w:p>
    <w:p w:rsidR="000D7101" w:rsidRPr="00C441DA" w:rsidRDefault="000D7101" w:rsidP="000D7101">
      <w:pPr>
        <w:pStyle w:val="Estilo"/>
        <w:ind w:right="18"/>
        <w:rPr>
          <w:rFonts w:cs="Arial"/>
          <w:sz w:val="21"/>
          <w:szCs w:val="21"/>
        </w:rPr>
      </w:pPr>
    </w:p>
    <w:p w:rsidR="000D7101" w:rsidRPr="00C441DA" w:rsidRDefault="000D7101" w:rsidP="000D7101">
      <w:pPr>
        <w:pStyle w:val="Estilo"/>
        <w:ind w:right="18"/>
        <w:rPr>
          <w:rFonts w:cs="Arial"/>
          <w:sz w:val="21"/>
          <w:szCs w:val="21"/>
        </w:rPr>
      </w:pPr>
      <w:r w:rsidRPr="00C441DA">
        <w:rPr>
          <w:rFonts w:cs="Arial"/>
          <w:sz w:val="21"/>
          <w:szCs w:val="21"/>
        </w:rPr>
        <w:t>VII.- El Reglamento General del Municipio de Tlajomulco de Zúñiga, Jalisco; y</w:t>
      </w:r>
    </w:p>
    <w:p w:rsidR="000D7101" w:rsidRPr="00C441DA" w:rsidRDefault="000D7101" w:rsidP="000D7101">
      <w:pPr>
        <w:pStyle w:val="Estilo"/>
        <w:ind w:right="18"/>
        <w:rPr>
          <w:rFonts w:cs="Arial"/>
          <w:sz w:val="21"/>
          <w:szCs w:val="21"/>
        </w:rPr>
      </w:pPr>
    </w:p>
    <w:p w:rsidR="000D7101" w:rsidRPr="00C441DA" w:rsidRDefault="000D7101" w:rsidP="000D7101">
      <w:pPr>
        <w:pStyle w:val="Estilo"/>
        <w:ind w:right="18"/>
        <w:rPr>
          <w:rFonts w:cs="Arial"/>
          <w:sz w:val="21"/>
          <w:szCs w:val="21"/>
        </w:rPr>
      </w:pPr>
      <w:r w:rsidRPr="00C441DA">
        <w:rPr>
          <w:rFonts w:cs="Arial"/>
          <w:sz w:val="21"/>
          <w:szCs w:val="21"/>
        </w:rPr>
        <w:t>VIII.- Las distintas leyes, normas y ordenamientos municipales que rijan actos,  procedimientos administrativos y ejecución del gasto de los Programas y los Procesos o Proyectos del Presupuesto de Egresos, así como para la ejecución de los servicios públicos municipales a cargo del Municipio.</w:t>
      </w:r>
    </w:p>
    <w:p w:rsidR="000D7101" w:rsidRPr="00C441DA" w:rsidRDefault="000D7101" w:rsidP="000D7101">
      <w:pPr>
        <w:pStyle w:val="Estilo"/>
        <w:ind w:right="18"/>
        <w:rPr>
          <w:rFonts w:cs="Arial"/>
          <w:sz w:val="21"/>
          <w:szCs w:val="21"/>
        </w:rPr>
      </w:pPr>
    </w:p>
    <w:p w:rsidR="000D7101" w:rsidRPr="00C441DA" w:rsidRDefault="000D7101" w:rsidP="000D7101">
      <w:pPr>
        <w:ind w:right="18"/>
        <w:jc w:val="both"/>
        <w:rPr>
          <w:rFonts w:ascii="Arial" w:hAnsi="Arial" w:cs="Arial"/>
          <w:color w:val="FF0000"/>
          <w:sz w:val="21"/>
          <w:szCs w:val="21"/>
        </w:rPr>
      </w:pPr>
    </w:p>
    <w:p w:rsidR="000D7101" w:rsidRPr="00C441DA" w:rsidRDefault="000D7101" w:rsidP="000D7101">
      <w:pPr>
        <w:pStyle w:val="Estilo"/>
        <w:ind w:right="18"/>
        <w:rPr>
          <w:sz w:val="21"/>
          <w:szCs w:val="21"/>
        </w:rPr>
      </w:pPr>
      <w:r w:rsidRPr="00C441DA">
        <w:rPr>
          <w:rFonts w:cs="Arial"/>
          <w:b/>
          <w:sz w:val="21"/>
          <w:szCs w:val="21"/>
        </w:rPr>
        <w:t>ARTÍCULO 5.-</w:t>
      </w:r>
      <w:r w:rsidRPr="00C441DA">
        <w:rPr>
          <w:rFonts w:cs="Arial"/>
          <w:sz w:val="21"/>
          <w:szCs w:val="21"/>
        </w:rPr>
        <w:t xml:space="preserve"> Para efectos de aplicación e interpretación del presente Reglamento s</w:t>
      </w:r>
      <w:r w:rsidRPr="00C441DA">
        <w:rPr>
          <w:sz w:val="21"/>
          <w:szCs w:val="21"/>
        </w:rPr>
        <w:t>e estará a lo que determine la Tesorería para efectos administrativos, bajo los siguientes lineamientos:</w:t>
      </w:r>
    </w:p>
    <w:p w:rsidR="000D7101" w:rsidRPr="00C441DA" w:rsidRDefault="000D7101" w:rsidP="000D7101">
      <w:pPr>
        <w:pStyle w:val="Estilo"/>
        <w:ind w:right="18"/>
        <w:rPr>
          <w:sz w:val="21"/>
          <w:szCs w:val="21"/>
        </w:rPr>
      </w:pPr>
    </w:p>
    <w:p w:rsidR="000D7101" w:rsidRPr="00C441DA" w:rsidRDefault="000D7101" w:rsidP="000D7101">
      <w:pPr>
        <w:pStyle w:val="Estilo"/>
        <w:ind w:right="18"/>
        <w:rPr>
          <w:sz w:val="21"/>
          <w:szCs w:val="21"/>
        </w:rPr>
      </w:pPr>
      <w:r w:rsidRPr="00C441DA">
        <w:rPr>
          <w:sz w:val="21"/>
          <w:szCs w:val="21"/>
        </w:rPr>
        <w:t>I.- El incumpliendo de las disposiciones previstas en el presente Reglamento no podrá ser motivo para limitar el ejercicio de los derechos de los ciudadanos o la prestación de servicios públicos municipales;</w:t>
      </w:r>
    </w:p>
    <w:p w:rsidR="000D7101" w:rsidRPr="00C441DA" w:rsidRDefault="000D7101" w:rsidP="000D7101">
      <w:pPr>
        <w:pStyle w:val="Estilo"/>
        <w:ind w:right="18"/>
        <w:rPr>
          <w:sz w:val="21"/>
          <w:szCs w:val="21"/>
        </w:rPr>
      </w:pPr>
    </w:p>
    <w:p w:rsidR="000D7101" w:rsidRPr="00C441DA" w:rsidRDefault="000D7101" w:rsidP="000D7101">
      <w:pPr>
        <w:pStyle w:val="Estilo"/>
        <w:ind w:right="18"/>
        <w:rPr>
          <w:rFonts w:cs="Arial"/>
          <w:sz w:val="21"/>
          <w:szCs w:val="21"/>
        </w:rPr>
      </w:pPr>
      <w:r w:rsidRPr="00C441DA">
        <w:rPr>
          <w:sz w:val="21"/>
          <w:szCs w:val="21"/>
        </w:rPr>
        <w:t>II.- L</w:t>
      </w:r>
      <w:r w:rsidRPr="00C441DA">
        <w:rPr>
          <w:rFonts w:cs="Arial"/>
          <w:sz w:val="21"/>
          <w:szCs w:val="21"/>
        </w:rPr>
        <w:t xml:space="preserve">as Dependencias, Unidades Ejecutoras del Gasto y Entidades Paramunicipales se coordinarán con la Tesorería para solventar los procesos, observaciones y obligaciones para el ejercicio y comprobación del gasto; </w:t>
      </w:r>
    </w:p>
    <w:p w:rsidR="000D7101" w:rsidRPr="00C441DA" w:rsidRDefault="000D7101" w:rsidP="000D7101">
      <w:pPr>
        <w:pStyle w:val="Estilo"/>
        <w:ind w:right="18"/>
        <w:rPr>
          <w:rFonts w:cs="Arial"/>
          <w:sz w:val="21"/>
          <w:szCs w:val="21"/>
        </w:rPr>
      </w:pPr>
    </w:p>
    <w:p w:rsidR="000D7101" w:rsidRPr="00C441DA" w:rsidRDefault="000D7101" w:rsidP="000D7101">
      <w:pPr>
        <w:pStyle w:val="Estilo"/>
        <w:ind w:right="18"/>
        <w:rPr>
          <w:rFonts w:cs="Arial"/>
          <w:sz w:val="21"/>
          <w:szCs w:val="21"/>
        </w:rPr>
      </w:pPr>
      <w:r w:rsidRPr="00C441DA">
        <w:rPr>
          <w:rFonts w:cs="Arial"/>
          <w:sz w:val="21"/>
          <w:szCs w:val="21"/>
        </w:rPr>
        <w:t xml:space="preserve">III.- Se deberá evitar cualquier cargo </w:t>
      </w:r>
      <w:r w:rsidRPr="0065207B">
        <w:rPr>
          <w:rFonts w:eastAsia="Times New Roman" w:cs="Arial"/>
          <w:sz w:val="20"/>
          <w:szCs w:val="20"/>
          <w:lang w:eastAsia="es-MX"/>
        </w:rPr>
        <w:t xml:space="preserve">por fiscalización </w:t>
      </w:r>
      <w:r w:rsidRPr="0065207B">
        <w:rPr>
          <w:rFonts w:cs="Arial"/>
          <w:sz w:val="21"/>
          <w:szCs w:val="21"/>
        </w:rPr>
        <w:t>a</w:t>
      </w:r>
      <w:r w:rsidRPr="00C441DA">
        <w:rPr>
          <w:rFonts w:cs="Arial"/>
          <w:sz w:val="21"/>
          <w:szCs w:val="21"/>
        </w:rPr>
        <w:t xml:space="preserve"> las cuentas públicas del Municipio y de </w:t>
      </w:r>
      <w:r>
        <w:rPr>
          <w:rFonts w:cs="Arial"/>
          <w:sz w:val="21"/>
          <w:szCs w:val="21"/>
        </w:rPr>
        <w:t xml:space="preserve">las Entidades Paramunicipales; </w:t>
      </w:r>
    </w:p>
    <w:p w:rsidR="000D7101" w:rsidRPr="00C441DA" w:rsidRDefault="000D7101" w:rsidP="000D7101">
      <w:pPr>
        <w:pStyle w:val="Estilo"/>
        <w:ind w:right="18"/>
        <w:rPr>
          <w:rFonts w:cs="Arial"/>
          <w:sz w:val="21"/>
          <w:szCs w:val="21"/>
        </w:rPr>
      </w:pPr>
    </w:p>
    <w:p w:rsidR="000D7101" w:rsidRPr="00C441DA" w:rsidRDefault="000D7101" w:rsidP="000D7101">
      <w:pPr>
        <w:pStyle w:val="Estilo"/>
        <w:ind w:right="18"/>
        <w:rPr>
          <w:rFonts w:cs="Arial"/>
          <w:sz w:val="21"/>
          <w:szCs w:val="21"/>
        </w:rPr>
      </w:pPr>
      <w:r w:rsidRPr="00C441DA">
        <w:rPr>
          <w:rFonts w:cs="Arial"/>
          <w:sz w:val="21"/>
          <w:szCs w:val="21"/>
        </w:rPr>
        <w:t>IV.- En su caso, solventar las observaciones a las cuentas públicas del Municipio y d</w:t>
      </w:r>
      <w:r>
        <w:rPr>
          <w:rFonts w:cs="Arial"/>
          <w:sz w:val="21"/>
          <w:szCs w:val="21"/>
        </w:rPr>
        <w:t>e las Entidades Paramunicipales; y</w:t>
      </w:r>
    </w:p>
    <w:p w:rsidR="000D7101" w:rsidRDefault="000D7101" w:rsidP="000D7101">
      <w:pPr>
        <w:ind w:right="18"/>
        <w:jc w:val="both"/>
        <w:rPr>
          <w:rFonts w:ascii="Arial" w:hAnsi="Arial" w:cs="Arial"/>
          <w:color w:val="FF0000"/>
          <w:sz w:val="21"/>
          <w:szCs w:val="21"/>
        </w:rPr>
      </w:pPr>
    </w:p>
    <w:p w:rsidR="000D7101" w:rsidRPr="0065207B" w:rsidRDefault="000D7101" w:rsidP="000D7101">
      <w:pPr>
        <w:ind w:right="18"/>
        <w:jc w:val="both"/>
        <w:rPr>
          <w:rFonts w:ascii="Arial" w:hAnsi="Arial" w:cs="Arial"/>
          <w:sz w:val="20"/>
          <w:szCs w:val="20"/>
          <w:lang w:eastAsia="es-MX"/>
        </w:rPr>
      </w:pPr>
      <w:r w:rsidRPr="0065207B">
        <w:rPr>
          <w:rFonts w:ascii="Arial" w:hAnsi="Arial" w:cs="Arial"/>
          <w:sz w:val="20"/>
          <w:szCs w:val="20"/>
          <w:lang w:eastAsia="es-MX"/>
        </w:rPr>
        <w:t xml:space="preserve">V.- Las adquisiciones respecto a los procesos y procedimientos, para el funcionamiento de las sesiones del Ayuntamiento del Municipio, podrán realizarse con fondo revolvente, a través de la Secretaría General del Ayuntamiento. </w:t>
      </w:r>
    </w:p>
    <w:p w:rsidR="000D7101" w:rsidRPr="0065207B" w:rsidRDefault="000D7101" w:rsidP="000D7101">
      <w:pPr>
        <w:ind w:right="18"/>
        <w:jc w:val="both"/>
        <w:rPr>
          <w:rFonts w:ascii="Arial" w:hAnsi="Arial" w:cs="Arial"/>
          <w:color w:val="FF0000"/>
          <w:sz w:val="21"/>
          <w:szCs w:val="21"/>
        </w:rPr>
      </w:pPr>
    </w:p>
    <w:p w:rsidR="000D7101" w:rsidRPr="00C441DA" w:rsidRDefault="000D7101" w:rsidP="000D7101">
      <w:pPr>
        <w:ind w:right="18"/>
        <w:jc w:val="both"/>
        <w:rPr>
          <w:rFonts w:ascii="Arial" w:hAnsi="Arial" w:cs="Arial"/>
          <w:color w:val="FF0000"/>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ARTÍCULO 6.-</w:t>
      </w:r>
      <w:r w:rsidRPr="00C441DA">
        <w:rPr>
          <w:rFonts w:ascii="Arial" w:hAnsi="Arial" w:cs="Arial"/>
          <w:sz w:val="21"/>
          <w:szCs w:val="21"/>
        </w:rPr>
        <w:t xml:space="preserve"> Son responsables del gasto los siguientes:</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I.- De forma directa las consideradas en este Reglamento como Dependencias y Entidades Paramunicipales; y</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II.- De forma solidaria las consideradas en este Reglamento como Unidades Ejecutoras del Gasto.</w:t>
      </w:r>
    </w:p>
    <w:p w:rsidR="000D7101" w:rsidRPr="00C441DA" w:rsidRDefault="000D7101" w:rsidP="000D7101">
      <w:pPr>
        <w:ind w:right="18"/>
        <w:jc w:val="both"/>
        <w:rPr>
          <w:rFonts w:ascii="Arial" w:hAnsi="Arial" w:cs="Arial"/>
          <w:b/>
          <w:sz w:val="21"/>
          <w:szCs w:val="21"/>
        </w:rPr>
      </w:pPr>
    </w:p>
    <w:p w:rsidR="000D7101" w:rsidRPr="00C441DA" w:rsidRDefault="000D7101" w:rsidP="000D7101">
      <w:pPr>
        <w:ind w:right="18"/>
        <w:jc w:val="both"/>
        <w:rPr>
          <w:rFonts w:ascii="Arial" w:hAnsi="Arial" w:cs="Arial"/>
          <w:b/>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ARTÍCULO 7.-</w:t>
      </w:r>
      <w:r w:rsidRPr="00C441DA">
        <w:rPr>
          <w:rFonts w:ascii="Arial" w:hAnsi="Arial" w:cs="Arial"/>
          <w:sz w:val="21"/>
          <w:szCs w:val="21"/>
        </w:rPr>
        <w:t xml:space="preserve"> En el ejercicio del gasto las Dependencias, Unidades Ejecutoras del Gasto y Entidades Paramunicipales, deberán cumplir con lo siguiente:</w:t>
      </w:r>
    </w:p>
    <w:p w:rsidR="000D7101" w:rsidRPr="00C441DA" w:rsidRDefault="000D7101" w:rsidP="000D7101">
      <w:pPr>
        <w:ind w:right="18"/>
        <w:jc w:val="both"/>
        <w:rPr>
          <w:rFonts w:ascii="Arial" w:hAnsi="Arial" w:cs="Arial"/>
          <w:sz w:val="21"/>
          <w:szCs w:val="21"/>
        </w:rPr>
      </w:pPr>
    </w:p>
    <w:p w:rsidR="000D7101" w:rsidRPr="00C441DA" w:rsidRDefault="000D7101" w:rsidP="000D7101">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sidRPr="00C441DA">
        <w:rPr>
          <w:rFonts w:ascii="Arial" w:hAnsi="Arial" w:cs="Arial"/>
          <w:sz w:val="21"/>
          <w:szCs w:val="21"/>
        </w:rPr>
        <w:t>Cumplir las disposiciones establecidas en materia presupuestaria y de contabilidad gubernamental;</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widowControl/>
        <w:numPr>
          <w:ilvl w:val="0"/>
          <w:numId w:val="30"/>
        </w:numPr>
        <w:tabs>
          <w:tab w:val="clear" w:pos="708"/>
        </w:tabs>
        <w:suppressAutoHyphens w:val="0"/>
        <w:spacing w:line="240" w:lineRule="auto"/>
        <w:ind w:left="0" w:right="18" w:firstLine="0"/>
        <w:jc w:val="both"/>
        <w:rPr>
          <w:rFonts w:ascii="Arial Narrow" w:hAnsi="Arial Narrow"/>
          <w:sz w:val="21"/>
          <w:szCs w:val="21"/>
          <w:lang w:val="es-ES_tradnl"/>
        </w:rPr>
      </w:pPr>
      <w:r w:rsidRPr="00C441DA">
        <w:rPr>
          <w:rFonts w:ascii="Arial" w:hAnsi="Arial" w:cs="Arial"/>
          <w:sz w:val="21"/>
          <w:szCs w:val="21"/>
        </w:rPr>
        <w:t>Apegarse a los montos de gasto autorizado, observando el control de las disponibilidades presupuestales;</w:t>
      </w:r>
    </w:p>
    <w:p w:rsidR="000D7101" w:rsidRPr="00C441DA" w:rsidRDefault="000D7101" w:rsidP="000D7101">
      <w:pPr>
        <w:pStyle w:val="Prrafodelista"/>
        <w:ind w:left="0" w:right="18"/>
        <w:jc w:val="both"/>
        <w:rPr>
          <w:rFonts w:ascii="Arial Narrow" w:hAnsi="Arial Narrow"/>
          <w:sz w:val="21"/>
          <w:szCs w:val="21"/>
          <w:lang w:val="es-ES_tradnl"/>
        </w:rPr>
      </w:pPr>
    </w:p>
    <w:p w:rsidR="000D7101" w:rsidRPr="00C441DA" w:rsidRDefault="000D7101" w:rsidP="000D7101">
      <w:pPr>
        <w:pStyle w:val="Prrafodelista"/>
        <w:widowControl/>
        <w:numPr>
          <w:ilvl w:val="0"/>
          <w:numId w:val="30"/>
        </w:numPr>
        <w:tabs>
          <w:tab w:val="clear" w:pos="708"/>
        </w:tabs>
        <w:suppressAutoHyphens w:val="0"/>
        <w:spacing w:line="240" w:lineRule="auto"/>
        <w:ind w:left="0" w:right="18" w:firstLine="0"/>
        <w:jc w:val="both"/>
        <w:rPr>
          <w:rFonts w:ascii="Arial Narrow" w:hAnsi="Arial Narrow"/>
          <w:sz w:val="21"/>
          <w:szCs w:val="21"/>
          <w:lang w:val="es-ES_tradnl"/>
        </w:rPr>
      </w:pPr>
      <w:r w:rsidRPr="00C441DA">
        <w:rPr>
          <w:rFonts w:ascii="Arial" w:hAnsi="Arial" w:cs="Arial"/>
          <w:sz w:val="21"/>
          <w:szCs w:val="21"/>
          <w:lang w:val="es-ES_tradnl"/>
        </w:rPr>
        <w:t>Abstenerse de generar compromisos que no cuenten con presupuesto autorizado;</w:t>
      </w:r>
    </w:p>
    <w:p w:rsidR="000D7101" w:rsidRPr="00C441DA" w:rsidRDefault="000D7101" w:rsidP="000D7101">
      <w:pPr>
        <w:pStyle w:val="Prrafodelista"/>
        <w:ind w:left="0" w:right="18"/>
        <w:jc w:val="both"/>
        <w:rPr>
          <w:rFonts w:ascii="Arial Narrow" w:hAnsi="Arial Narrow"/>
          <w:sz w:val="21"/>
          <w:szCs w:val="21"/>
          <w:lang w:val="es-ES_tradnl"/>
        </w:rPr>
      </w:pPr>
    </w:p>
    <w:p w:rsidR="000D7101" w:rsidRPr="00C441DA" w:rsidRDefault="000D7101" w:rsidP="000D7101">
      <w:pPr>
        <w:pStyle w:val="Prrafodelista"/>
        <w:widowControl/>
        <w:numPr>
          <w:ilvl w:val="0"/>
          <w:numId w:val="30"/>
        </w:numPr>
        <w:tabs>
          <w:tab w:val="clear" w:pos="708"/>
        </w:tabs>
        <w:suppressAutoHyphens w:val="0"/>
        <w:spacing w:line="240" w:lineRule="auto"/>
        <w:ind w:left="0" w:right="18" w:firstLine="0"/>
        <w:jc w:val="both"/>
        <w:rPr>
          <w:rFonts w:ascii="Arial Narrow" w:hAnsi="Arial Narrow"/>
          <w:sz w:val="21"/>
          <w:szCs w:val="21"/>
          <w:lang w:val="es-ES_tradnl"/>
        </w:rPr>
      </w:pPr>
      <w:r w:rsidRPr="00C441DA">
        <w:rPr>
          <w:rFonts w:ascii="Arial" w:hAnsi="Arial" w:cs="Arial"/>
          <w:sz w:val="21"/>
          <w:szCs w:val="21"/>
          <w:lang w:val="es-ES_tradnl"/>
        </w:rPr>
        <w:t>Registrar en el Sistema los compromisos presupuestales en las partidas presupuestales expresas, para poder programar el gasto. Para que proceda una erogación ésta deberá de sujetarse al texto de la partida contenida en el Clasificador por Objeto del Gasto que lo autorice y a su suficiencia presupuestal</w:t>
      </w:r>
      <w:r w:rsidRPr="00C441DA">
        <w:rPr>
          <w:rFonts w:ascii="Arial Narrow" w:hAnsi="Arial Narrow"/>
          <w:sz w:val="21"/>
          <w:szCs w:val="21"/>
          <w:lang w:val="es-ES_tradnl"/>
        </w:rPr>
        <w:t>;</w:t>
      </w:r>
    </w:p>
    <w:p w:rsidR="000D7101" w:rsidRPr="00C441DA" w:rsidRDefault="000D7101" w:rsidP="000D7101">
      <w:pPr>
        <w:pStyle w:val="Prrafodelista"/>
        <w:ind w:left="0" w:right="18"/>
        <w:jc w:val="both"/>
        <w:rPr>
          <w:rFonts w:ascii="Arial Narrow" w:hAnsi="Arial Narrow"/>
          <w:sz w:val="21"/>
          <w:szCs w:val="21"/>
          <w:lang w:val="es-ES_tradnl"/>
        </w:rPr>
      </w:pPr>
    </w:p>
    <w:p w:rsidR="000D7101" w:rsidRPr="00C441DA" w:rsidRDefault="000D7101" w:rsidP="000D7101">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sidRPr="00C441DA">
        <w:rPr>
          <w:rFonts w:ascii="Arial" w:hAnsi="Arial" w:cs="Arial"/>
          <w:sz w:val="21"/>
          <w:szCs w:val="21"/>
          <w:lang w:val="es-ES_tradnl"/>
        </w:rPr>
        <w:t>Ordenar las erogaciones con la documentación comprobatoria del fondo revolvente correspondiente del gasto con cargo al Presupuesto de Egresos;</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sidRPr="00C441DA">
        <w:rPr>
          <w:rFonts w:ascii="Arial" w:hAnsi="Arial" w:cs="Arial"/>
          <w:sz w:val="21"/>
          <w:szCs w:val="21"/>
        </w:rPr>
        <w:t>Evitar el subejercicio del gasto;</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sidRPr="00C441DA">
        <w:rPr>
          <w:rFonts w:ascii="Arial" w:hAnsi="Arial" w:cs="Arial"/>
          <w:sz w:val="21"/>
          <w:szCs w:val="21"/>
        </w:rPr>
        <w:t>Efectuar sus erogaciones con responsabilidad presupuestaria, de conformidad a los principios de racionalidad, austeridad y disciplina presupuestaria establecidas en el Presupuesto de Egresos y la Ley, así como las demás lineamientos que emitan la Tesorería;</w:t>
      </w:r>
    </w:p>
    <w:p w:rsidR="000D7101" w:rsidRPr="00C441DA" w:rsidRDefault="000D7101" w:rsidP="000D7101">
      <w:pPr>
        <w:pStyle w:val="Prrafodelista"/>
        <w:ind w:left="0" w:right="18"/>
        <w:rPr>
          <w:rFonts w:ascii="Arial" w:hAnsi="Arial" w:cs="Arial"/>
          <w:sz w:val="21"/>
          <w:szCs w:val="21"/>
        </w:rPr>
      </w:pPr>
    </w:p>
    <w:p w:rsidR="000D7101" w:rsidRPr="00C441DA" w:rsidRDefault="000D7101" w:rsidP="000D7101">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sidRPr="00C441DA">
        <w:rPr>
          <w:rFonts w:ascii="Arial" w:hAnsi="Arial" w:cs="Arial"/>
          <w:sz w:val="21"/>
          <w:szCs w:val="21"/>
        </w:rPr>
        <w:t>Proponer recursos presupuestales en cada ejercicio fiscal para los compromisos celebrados que contemplen la entrega de bienes y servicios o ejecución de obras que abarquen varios ejercicios;</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sidRPr="00C441DA">
        <w:rPr>
          <w:rFonts w:ascii="Arial" w:hAnsi="Arial" w:cs="Arial"/>
          <w:sz w:val="21"/>
          <w:szCs w:val="21"/>
        </w:rPr>
        <w:t>Ejercer el gasto con sujeción a las definiciones contenidas en los capítulos, conceptos y partidas del Clasificador por Objeto y Tipo de Gasto; y</w:t>
      </w:r>
    </w:p>
    <w:p w:rsidR="000D7101" w:rsidRPr="00C441DA" w:rsidRDefault="000D7101" w:rsidP="000D7101">
      <w:pPr>
        <w:pStyle w:val="Prrafodelista"/>
        <w:ind w:left="0" w:right="18"/>
        <w:rPr>
          <w:rFonts w:ascii="Arial" w:hAnsi="Arial" w:cs="Arial"/>
          <w:sz w:val="21"/>
          <w:szCs w:val="21"/>
        </w:rPr>
      </w:pPr>
    </w:p>
    <w:p w:rsidR="000D7101" w:rsidRPr="00C441DA" w:rsidRDefault="000D7101" w:rsidP="000D7101">
      <w:pPr>
        <w:pStyle w:val="Prrafodelista"/>
        <w:widowControl/>
        <w:numPr>
          <w:ilvl w:val="0"/>
          <w:numId w:val="30"/>
        </w:numPr>
        <w:tabs>
          <w:tab w:val="clear" w:pos="708"/>
        </w:tabs>
        <w:suppressAutoHyphens w:val="0"/>
        <w:spacing w:line="240" w:lineRule="auto"/>
        <w:ind w:left="0" w:right="18" w:firstLine="0"/>
        <w:jc w:val="both"/>
        <w:rPr>
          <w:rFonts w:ascii="Arial" w:hAnsi="Arial" w:cs="Arial"/>
          <w:sz w:val="21"/>
          <w:szCs w:val="21"/>
        </w:rPr>
      </w:pPr>
      <w:r w:rsidRPr="00C441DA">
        <w:rPr>
          <w:rFonts w:ascii="Arial" w:hAnsi="Arial" w:cs="Arial"/>
          <w:sz w:val="21"/>
          <w:szCs w:val="21"/>
        </w:rPr>
        <w:t xml:space="preserve">Justificar y asegurar que las adecuaciones presupuestales que soliciten cuenten con los recursos suficientes en los saldos de las claves presupuestales por modificar. </w:t>
      </w:r>
    </w:p>
    <w:p w:rsidR="000D7101" w:rsidRPr="00C441DA" w:rsidRDefault="000D7101" w:rsidP="000D7101">
      <w:pPr>
        <w:ind w:right="18"/>
        <w:jc w:val="both"/>
        <w:rPr>
          <w:rFonts w:ascii="Arial" w:hAnsi="Arial" w:cs="Arial"/>
          <w:b/>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 xml:space="preserve">ARTÍCULO 8.- </w:t>
      </w:r>
      <w:r w:rsidRPr="00C441DA">
        <w:rPr>
          <w:rFonts w:ascii="Arial" w:hAnsi="Arial" w:cs="Arial"/>
          <w:sz w:val="21"/>
          <w:szCs w:val="21"/>
        </w:rPr>
        <w:t>La Tesorería emitirá un calendario con las fechas para la ejecución del gasto, por lo que las Dependencias, Unidades Ejecutoras del Gasto y Entidades Paramunicipales deberán sujetar el ejercicio del gasto del mismo.</w:t>
      </w:r>
    </w:p>
    <w:p w:rsidR="000D7101" w:rsidRPr="0065207B" w:rsidRDefault="000D7101" w:rsidP="000D7101">
      <w:pPr>
        <w:jc w:val="center"/>
        <w:rPr>
          <w:b/>
        </w:rPr>
      </w:pPr>
    </w:p>
    <w:p w:rsidR="000D7101" w:rsidRPr="0065207B" w:rsidRDefault="000D7101" w:rsidP="000D7101">
      <w:pPr>
        <w:jc w:val="center"/>
        <w:rPr>
          <w:rFonts w:ascii="Arial" w:hAnsi="Arial" w:cs="Arial"/>
          <w:b/>
        </w:rPr>
      </w:pPr>
      <w:r w:rsidRPr="0065207B">
        <w:rPr>
          <w:rFonts w:ascii="Arial" w:hAnsi="Arial" w:cs="Arial"/>
          <w:b/>
        </w:rPr>
        <w:t>CAPÍTULO I</w:t>
      </w:r>
    </w:p>
    <w:p w:rsidR="000D7101" w:rsidRPr="0065207B" w:rsidRDefault="000D7101" w:rsidP="000D7101">
      <w:pPr>
        <w:jc w:val="center"/>
        <w:rPr>
          <w:rFonts w:ascii="Arial" w:hAnsi="Arial" w:cs="Arial"/>
          <w:b/>
        </w:rPr>
      </w:pPr>
      <w:r w:rsidRPr="0065207B">
        <w:rPr>
          <w:rFonts w:ascii="Arial" w:hAnsi="Arial" w:cs="Arial"/>
          <w:b/>
        </w:rPr>
        <w:t>CLAVE PRESUPUESTAL</w:t>
      </w:r>
    </w:p>
    <w:p w:rsidR="000D7101" w:rsidRPr="00C441DA" w:rsidRDefault="000D7101" w:rsidP="000D7101">
      <w:pPr>
        <w:ind w:right="18"/>
        <w:rPr>
          <w:rFonts w:ascii="Arial" w:hAnsi="Arial" w:cs="Arial"/>
          <w:sz w:val="21"/>
          <w:szCs w:val="21"/>
        </w:rPr>
      </w:pPr>
    </w:p>
    <w:p w:rsidR="000D7101" w:rsidRPr="00C441DA" w:rsidRDefault="000D7101" w:rsidP="000D7101">
      <w:pPr>
        <w:tabs>
          <w:tab w:val="left" w:pos="352"/>
        </w:tabs>
        <w:ind w:right="18"/>
        <w:jc w:val="both"/>
        <w:rPr>
          <w:rFonts w:ascii="Arial" w:eastAsia="Arial" w:hAnsi="Arial" w:cs="Arial"/>
          <w:sz w:val="21"/>
          <w:szCs w:val="21"/>
        </w:rPr>
      </w:pPr>
      <w:r w:rsidRPr="00C441DA">
        <w:rPr>
          <w:rFonts w:ascii="Arial" w:eastAsia="Arial" w:hAnsi="Arial" w:cs="Arial"/>
          <w:b/>
          <w:sz w:val="21"/>
          <w:szCs w:val="21"/>
        </w:rPr>
        <w:t xml:space="preserve">ARTÍCULO 9.- </w:t>
      </w:r>
      <w:r w:rsidRPr="00C441DA">
        <w:rPr>
          <w:rFonts w:ascii="Arial" w:eastAsia="Arial" w:hAnsi="Arial" w:cs="Arial"/>
          <w:sz w:val="21"/>
          <w:szCs w:val="21"/>
        </w:rPr>
        <w:t xml:space="preserve">La clave presupuestal es un instrumento que permite el control, la descripción e identificación del gasto realizado por las Dependencias, Unidades Ejecutoras del Gasto y Entidades Paramunicipales; además permite sistematizar la información del Presupuesto de Egresos de acuerdo con la clasificación administrativa, funcional programática y económica; vincula las asignaciones con la ejecución del gasto y constituye un instrumento de control para el seguimiento y la evaluación del gasto público. </w:t>
      </w:r>
    </w:p>
    <w:p w:rsidR="000D7101" w:rsidRPr="00C441DA" w:rsidRDefault="000D7101" w:rsidP="000D7101">
      <w:pPr>
        <w:tabs>
          <w:tab w:val="left" w:pos="352"/>
        </w:tabs>
        <w:ind w:right="18"/>
        <w:jc w:val="both"/>
        <w:rPr>
          <w:rFonts w:ascii="Arial" w:eastAsia="Arial" w:hAnsi="Arial" w:cs="Arial"/>
          <w:sz w:val="21"/>
          <w:szCs w:val="21"/>
        </w:rPr>
      </w:pPr>
    </w:p>
    <w:p w:rsidR="000D7101" w:rsidRPr="00C441DA" w:rsidRDefault="000D7101" w:rsidP="000D7101">
      <w:pPr>
        <w:tabs>
          <w:tab w:val="left" w:pos="352"/>
        </w:tabs>
        <w:ind w:right="18"/>
        <w:jc w:val="both"/>
        <w:rPr>
          <w:rFonts w:ascii="Arial" w:eastAsia="Arial" w:hAnsi="Arial" w:cs="Arial"/>
          <w:sz w:val="21"/>
          <w:szCs w:val="21"/>
        </w:rPr>
      </w:pPr>
      <w:r w:rsidRPr="00C441DA">
        <w:rPr>
          <w:rFonts w:ascii="Arial" w:eastAsia="Arial" w:hAnsi="Arial" w:cs="Arial"/>
          <w:b/>
          <w:sz w:val="21"/>
          <w:szCs w:val="21"/>
        </w:rPr>
        <w:t xml:space="preserve">ARTÍCULO 10.- </w:t>
      </w:r>
      <w:r w:rsidRPr="00C441DA">
        <w:rPr>
          <w:rFonts w:ascii="Arial" w:eastAsia="Arial" w:hAnsi="Arial" w:cs="Arial"/>
          <w:sz w:val="21"/>
          <w:szCs w:val="21"/>
        </w:rPr>
        <w:t>La clave presupuestal se integra de siete componentes y veintitrés dígitos. Los componentes y su longitud de registro son:</w:t>
      </w:r>
    </w:p>
    <w:p w:rsidR="000D7101" w:rsidRDefault="000D7101" w:rsidP="000D7101">
      <w:pPr>
        <w:tabs>
          <w:tab w:val="left" w:pos="352"/>
        </w:tabs>
        <w:ind w:right="18"/>
        <w:jc w:val="both"/>
        <w:rPr>
          <w:rFonts w:ascii="Arial" w:eastAsia="Arial" w:hAnsi="Arial" w:cs="Arial"/>
          <w:sz w:val="20"/>
          <w:szCs w:val="20"/>
        </w:rPr>
      </w:pPr>
    </w:p>
    <w:p w:rsidR="000D7101" w:rsidRDefault="000D7101" w:rsidP="000D7101">
      <w:pPr>
        <w:tabs>
          <w:tab w:val="left" w:pos="352"/>
        </w:tabs>
        <w:ind w:right="18"/>
        <w:jc w:val="both"/>
        <w:rPr>
          <w:rFonts w:ascii="Arial" w:eastAsia="Arial" w:hAnsi="Arial" w:cs="Arial"/>
          <w:sz w:val="20"/>
          <w:szCs w:val="20"/>
        </w:rPr>
      </w:pPr>
      <w:r>
        <w:rPr>
          <w:rFonts w:eastAsia="Arial"/>
          <w:noProof/>
          <w:sz w:val="20"/>
          <w:szCs w:val="20"/>
          <w:lang w:eastAsia="es-MX" w:bidi="ar-SA"/>
        </w:rPr>
        <w:drawing>
          <wp:inline distT="0" distB="0" distL="0" distR="0">
            <wp:extent cx="5310505" cy="703580"/>
            <wp:effectExtent l="0" t="0" r="444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0505" cy="703580"/>
                    </a:xfrm>
                    <a:prstGeom prst="rect">
                      <a:avLst/>
                    </a:prstGeom>
                    <a:noFill/>
                    <a:ln>
                      <a:noFill/>
                    </a:ln>
                  </pic:spPr>
                </pic:pic>
              </a:graphicData>
            </a:graphic>
          </wp:inline>
        </w:drawing>
      </w:r>
    </w:p>
    <w:p w:rsidR="000D7101" w:rsidRDefault="000D7101" w:rsidP="000D7101">
      <w:pPr>
        <w:tabs>
          <w:tab w:val="left" w:pos="352"/>
        </w:tabs>
        <w:ind w:right="18"/>
        <w:jc w:val="both"/>
        <w:rPr>
          <w:rFonts w:ascii="Arial" w:eastAsia="Arial" w:hAnsi="Arial" w:cs="Arial"/>
          <w:sz w:val="20"/>
          <w:szCs w:val="20"/>
        </w:rPr>
      </w:pPr>
    </w:p>
    <w:p w:rsidR="000D7101" w:rsidRDefault="000D7101" w:rsidP="000D7101">
      <w:pPr>
        <w:ind w:right="18"/>
        <w:rPr>
          <w:rFonts w:ascii="Arial" w:hAnsi="Arial" w:cs="Arial"/>
          <w:sz w:val="20"/>
          <w:szCs w:val="20"/>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
        <w:gridCol w:w="1153"/>
        <w:gridCol w:w="304"/>
        <w:gridCol w:w="1131"/>
        <w:gridCol w:w="284"/>
        <w:gridCol w:w="1154"/>
        <w:gridCol w:w="262"/>
        <w:gridCol w:w="196"/>
        <w:gridCol w:w="1045"/>
        <w:gridCol w:w="262"/>
        <w:gridCol w:w="45"/>
        <w:gridCol w:w="1088"/>
        <w:gridCol w:w="30"/>
        <w:gridCol w:w="1173"/>
      </w:tblGrid>
      <w:tr w:rsidR="000D7101" w:rsidTr="00B74BF5">
        <w:trPr>
          <w:trHeight w:val="534"/>
        </w:trPr>
        <w:tc>
          <w:tcPr>
            <w:tcW w:w="7191" w:type="dxa"/>
            <w:gridSpan w:val="13"/>
            <w:tcBorders>
              <w:top w:val="single" w:sz="4" w:space="0" w:color="auto"/>
              <w:left w:val="single" w:sz="4" w:space="0" w:color="auto"/>
              <w:bottom w:val="nil"/>
              <w:right w:val="single" w:sz="4" w:space="0" w:color="auto"/>
            </w:tcBorders>
            <w:shd w:val="clear" w:color="auto" w:fill="auto"/>
            <w:vAlign w:val="bottom"/>
          </w:tcPr>
          <w:p w:rsidR="000D7101" w:rsidRDefault="000D7101" w:rsidP="00B74BF5">
            <w:pPr>
              <w:ind w:right="18"/>
              <w:rPr>
                <w:rFonts w:ascii="Arial" w:eastAsia="Arial" w:hAnsi="Arial"/>
                <w:sz w:val="20"/>
                <w:szCs w:val="20"/>
              </w:rPr>
            </w:pPr>
            <w:r>
              <w:rPr>
                <w:rFonts w:ascii="Arial" w:eastAsia="Arial" w:hAnsi="Arial"/>
                <w:b/>
                <w:sz w:val="20"/>
                <w:szCs w:val="20"/>
              </w:rPr>
              <w:t xml:space="preserve">DEPENDENCIA / UNIDAD PRESUPUESTAL: </w:t>
            </w:r>
            <w:r>
              <w:rPr>
                <w:rFonts w:ascii="Arial" w:eastAsia="Arial" w:hAnsi="Arial"/>
                <w:sz w:val="20"/>
                <w:szCs w:val="20"/>
              </w:rPr>
              <w:t>Unidad Administrativa que integra la Administración Pública Municipal.</w:t>
            </w:r>
          </w:p>
          <w:p w:rsidR="000D7101" w:rsidRDefault="000D7101" w:rsidP="00B74BF5">
            <w:pPr>
              <w:ind w:right="18"/>
              <w:rPr>
                <w:rFonts w:ascii="Arial" w:eastAsia="Arial" w:hAnsi="Arial"/>
                <w:sz w:val="20"/>
                <w:szCs w:val="20"/>
              </w:rPr>
            </w:pPr>
          </w:p>
        </w:tc>
        <w:tc>
          <w:tcPr>
            <w:tcW w:w="1173" w:type="dxa"/>
            <w:tcBorders>
              <w:top w:val="single" w:sz="4" w:space="0" w:color="auto"/>
              <w:left w:val="single" w:sz="4" w:space="0" w:color="auto"/>
              <w:bottom w:val="nil"/>
              <w:right w:val="single" w:sz="4" w:space="0" w:color="auto"/>
            </w:tcBorders>
            <w:shd w:val="clear" w:color="auto" w:fill="auto"/>
            <w:vAlign w:val="bottom"/>
          </w:tcPr>
          <w:p w:rsidR="000D7101" w:rsidRDefault="000D7101" w:rsidP="00B74BF5">
            <w:pPr>
              <w:ind w:right="18"/>
              <w:jc w:val="center"/>
              <w:rPr>
                <w:rFonts w:ascii="Arial" w:eastAsia="Arial" w:hAnsi="Arial"/>
                <w:sz w:val="20"/>
                <w:szCs w:val="20"/>
              </w:rPr>
            </w:pPr>
            <w:r>
              <w:rPr>
                <w:rFonts w:ascii="Arial" w:eastAsia="Arial" w:hAnsi="Arial"/>
                <w:sz w:val="20"/>
                <w:szCs w:val="20"/>
              </w:rPr>
              <w:t>DEP</w:t>
            </w:r>
          </w:p>
          <w:p w:rsidR="000D7101" w:rsidRDefault="000D7101" w:rsidP="00B74BF5">
            <w:pPr>
              <w:ind w:right="18"/>
              <w:jc w:val="center"/>
              <w:rPr>
                <w:rFonts w:ascii="Arial" w:eastAsia="Arial" w:hAnsi="Arial"/>
                <w:sz w:val="20"/>
                <w:szCs w:val="20"/>
              </w:rPr>
            </w:pPr>
          </w:p>
        </w:tc>
      </w:tr>
      <w:tr w:rsidR="000D7101" w:rsidTr="00B74BF5">
        <w:trPr>
          <w:trHeight w:val="214"/>
        </w:trPr>
        <w:tc>
          <w:tcPr>
            <w:tcW w:w="6073" w:type="dxa"/>
            <w:gridSpan w:val="11"/>
            <w:tcBorders>
              <w:top w:val="nil"/>
              <w:left w:val="single" w:sz="4" w:space="0" w:color="auto"/>
              <w:bottom w:val="single" w:sz="4" w:space="0" w:color="auto"/>
              <w:right w:val="nil"/>
            </w:tcBorders>
            <w:shd w:val="clear" w:color="auto" w:fill="auto"/>
            <w:vAlign w:val="bottom"/>
          </w:tcPr>
          <w:p w:rsidR="000D7101" w:rsidRDefault="000D7101" w:rsidP="00B74BF5">
            <w:pPr>
              <w:ind w:right="18"/>
              <w:rPr>
                <w:rFonts w:ascii="Arial" w:eastAsia="Arial" w:hAnsi="Arial"/>
                <w:sz w:val="20"/>
                <w:szCs w:val="20"/>
              </w:rPr>
            </w:pPr>
            <w:r>
              <w:rPr>
                <w:rFonts w:ascii="Arial" w:eastAsia="Arial" w:hAnsi="Arial"/>
                <w:sz w:val="20"/>
                <w:szCs w:val="20"/>
              </w:rPr>
              <w:t>Componente ejecutor del gasto.</w:t>
            </w:r>
          </w:p>
          <w:p w:rsidR="000D7101" w:rsidRDefault="000D7101" w:rsidP="00B74BF5">
            <w:pPr>
              <w:ind w:right="18"/>
              <w:rPr>
                <w:rFonts w:ascii="Arial" w:eastAsia="Arial" w:hAnsi="Arial"/>
                <w:sz w:val="20"/>
                <w:szCs w:val="20"/>
              </w:rPr>
            </w:pPr>
          </w:p>
        </w:tc>
        <w:tc>
          <w:tcPr>
            <w:tcW w:w="1088"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30" w:type="dxa"/>
            <w:tcBorders>
              <w:top w:val="nil"/>
              <w:left w:val="nil"/>
              <w:bottom w:val="single" w:sz="4" w:space="0" w:color="auto"/>
              <w:right w:val="single" w:sz="4" w:space="0" w:color="auto"/>
            </w:tcBorders>
            <w:shd w:val="clear" w:color="auto" w:fill="auto"/>
            <w:vAlign w:val="bottom"/>
          </w:tcPr>
          <w:p w:rsidR="000D7101" w:rsidRDefault="000D7101" w:rsidP="00B74BF5">
            <w:pPr>
              <w:ind w:right="18"/>
              <w:rPr>
                <w:sz w:val="20"/>
                <w:szCs w:val="20"/>
              </w:rPr>
            </w:pPr>
          </w:p>
        </w:tc>
        <w:tc>
          <w:tcPr>
            <w:tcW w:w="1173" w:type="dxa"/>
            <w:tcBorders>
              <w:top w:val="nil"/>
              <w:left w:val="single" w:sz="4" w:space="0" w:color="auto"/>
              <w:bottom w:val="single" w:sz="4" w:space="0" w:color="auto"/>
              <w:right w:val="single" w:sz="4" w:space="0" w:color="auto"/>
            </w:tcBorders>
            <w:shd w:val="clear" w:color="auto" w:fill="auto"/>
            <w:vAlign w:val="bottom"/>
          </w:tcPr>
          <w:p w:rsidR="000D7101" w:rsidRDefault="000D7101" w:rsidP="00B74BF5">
            <w:pPr>
              <w:ind w:right="18"/>
              <w:rPr>
                <w:sz w:val="20"/>
                <w:szCs w:val="20"/>
              </w:rPr>
            </w:pPr>
          </w:p>
        </w:tc>
      </w:tr>
      <w:tr w:rsidR="000D7101" w:rsidTr="00B74BF5">
        <w:trPr>
          <w:trHeight w:val="313"/>
        </w:trPr>
        <w:tc>
          <w:tcPr>
            <w:tcW w:w="7191" w:type="dxa"/>
            <w:gridSpan w:val="13"/>
            <w:tcBorders>
              <w:top w:val="single" w:sz="4" w:space="0" w:color="auto"/>
              <w:left w:val="single" w:sz="4" w:space="0" w:color="auto"/>
              <w:bottom w:val="nil"/>
              <w:right w:val="single" w:sz="4" w:space="0" w:color="auto"/>
            </w:tcBorders>
            <w:shd w:val="clear" w:color="auto" w:fill="auto"/>
            <w:vAlign w:val="bottom"/>
          </w:tcPr>
          <w:p w:rsidR="000D7101" w:rsidRDefault="000D7101" w:rsidP="00B74BF5">
            <w:pPr>
              <w:ind w:right="18"/>
              <w:jc w:val="both"/>
              <w:rPr>
                <w:rFonts w:ascii="Arial" w:eastAsia="Arial" w:hAnsi="Arial"/>
                <w:sz w:val="20"/>
                <w:szCs w:val="20"/>
              </w:rPr>
            </w:pPr>
            <w:r>
              <w:rPr>
                <w:rFonts w:ascii="Arial" w:eastAsia="Arial" w:hAnsi="Arial"/>
                <w:b/>
                <w:sz w:val="20"/>
                <w:szCs w:val="20"/>
              </w:rPr>
              <w:t xml:space="preserve">PROGRAMA DE GOBIERNO: </w:t>
            </w:r>
            <w:r>
              <w:rPr>
                <w:rFonts w:ascii="Arial" w:eastAsia="Arial" w:hAnsi="Arial"/>
                <w:sz w:val="20"/>
                <w:szCs w:val="20"/>
              </w:rPr>
              <w:t>Constituye el conjunto de proyectos y procesos</w:t>
            </w:r>
          </w:p>
        </w:tc>
        <w:tc>
          <w:tcPr>
            <w:tcW w:w="1173" w:type="dxa"/>
            <w:tcBorders>
              <w:top w:val="single" w:sz="4" w:space="0" w:color="auto"/>
              <w:left w:val="single" w:sz="4" w:space="0" w:color="auto"/>
              <w:bottom w:val="nil"/>
              <w:right w:val="single" w:sz="4" w:space="0" w:color="auto"/>
            </w:tcBorders>
            <w:shd w:val="clear" w:color="auto" w:fill="auto"/>
            <w:vAlign w:val="bottom"/>
          </w:tcPr>
          <w:p w:rsidR="000D7101" w:rsidRDefault="000D7101" w:rsidP="00B74BF5">
            <w:pPr>
              <w:ind w:right="18"/>
              <w:rPr>
                <w:sz w:val="20"/>
                <w:szCs w:val="20"/>
              </w:rPr>
            </w:pPr>
          </w:p>
        </w:tc>
      </w:tr>
      <w:tr w:rsidR="000D7101" w:rsidTr="00B74BF5">
        <w:trPr>
          <w:trHeight w:val="211"/>
        </w:trPr>
        <w:tc>
          <w:tcPr>
            <w:tcW w:w="1694" w:type="dxa"/>
            <w:gridSpan w:val="3"/>
            <w:tcBorders>
              <w:top w:val="nil"/>
              <w:left w:val="single" w:sz="4" w:space="0" w:color="auto"/>
              <w:bottom w:val="nil"/>
              <w:right w:val="nil"/>
            </w:tcBorders>
            <w:shd w:val="clear" w:color="auto" w:fill="auto"/>
            <w:vAlign w:val="bottom"/>
          </w:tcPr>
          <w:p w:rsidR="000D7101" w:rsidRDefault="000D7101" w:rsidP="00B74BF5">
            <w:pPr>
              <w:ind w:right="18"/>
              <w:jc w:val="both"/>
              <w:rPr>
                <w:rFonts w:ascii="Arial" w:eastAsia="Arial" w:hAnsi="Arial"/>
                <w:sz w:val="20"/>
                <w:szCs w:val="20"/>
              </w:rPr>
            </w:pPr>
            <w:r>
              <w:rPr>
                <w:rFonts w:ascii="Arial" w:eastAsia="Arial" w:hAnsi="Arial"/>
                <w:sz w:val="20"/>
                <w:szCs w:val="20"/>
              </w:rPr>
              <w:t>interdependientes</w:t>
            </w:r>
          </w:p>
        </w:tc>
        <w:tc>
          <w:tcPr>
            <w:tcW w:w="1415" w:type="dxa"/>
            <w:gridSpan w:val="2"/>
            <w:tcBorders>
              <w:top w:val="nil"/>
              <w:left w:val="nil"/>
              <w:bottom w:val="nil"/>
              <w:right w:val="nil"/>
            </w:tcBorders>
            <w:shd w:val="clear" w:color="auto" w:fill="auto"/>
            <w:vAlign w:val="bottom"/>
          </w:tcPr>
          <w:p w:rsidR="000D7101" w:rsidRDefault="000D7101" w:rsidP="00B74BF5">
            <w:pPr>
              <w:ind w:right="18"/>
              <w:jc w:val="both"/>
              <w:rPr>
                <w:rFonts w:ascii="Arial" w:eastAsia="Arial" w:hAnsi="Arial"/>
                <w:sz w:val="20"/>
                <w:szCs w:val="20"/>
              </w:rPr>
            </w:pPr>
            <w:r>
              <w:rPr>
                <w:rFonts w:ascii="Arial" w:eastAsia="Arial" w:hAnsi="Arial"/>
                <w:sz w:val="20"/>
                <w:szCs w:val="20"/>
              </w:rPr>
              <w:t>que  expresan</w:t>
            </w:r>
          </w:p>
        </w:tc>
        <w:tc>
          <w:tcPr>
            <w:tcW w:w="2964" w:type="dxa"/>
            <w:gridSpan w:val="6"/>
            <w:tcBorders>
              <w:top w:val="nil"/>
              <w:left w:val="nil"/>
              <w:bottom w:val="nil"/>
              <w:right w:val="nil"/>
            </w:tcBorders>
            <w:shd w:val="clear" w:color="auto" w:fill="auto"/>
            <w:vAlign w:val="bottom"/>
          </w:tcPr>
          <w:p w:rsidR="000D7101" w:rsidRDefault="000D7101" w:rsidP="00B74BF5">
            <w:pPr>
              <w:ind w:right="18"/>
              <w:jc w:val="both"/>
              <w:rPr>
                <w:rFonts w:ascii="Arial" w:eastAsia="Arial" w:hAnsi="Arial"/>
                <w:sz w:val="20"/>
                <w:szCs w:val="20"/>
              </w:rPr>
            </w:pPr>
            <w:r>
              <w:rPr>
                <w:rFonts w:ascii="Arial" w:eastAsia="Arial" w:hAnsi="Arial"/>
                <w:sz w:val="20"/>
                <w:szCs w:val="20"/>
              </w:rPr>
              <w:t>objetivos  y  metas  a  alcanzar</w:t>
            </w:r>
          </w:p>
        </w:tc>
        <w:tc>
          <w:tcPr>
            <w:tcW w:w="1118" w:type="dxa"/>
            <w:gridSpan w:val="2"/>
            <w:tcBorders>
              <w:top w:val="nil"/>
              <w:left w:val="nil"/>
              <w:bottom w:val="nil"/>
              <w:right w:val="single" w:sz="4" w:space="0" w:color="auto"/>
            </w:tcBorders>
            <w:shd w:val="clear" w:color="auto" w:fill="auto"/>
            <w:vAlign w:val="bottom"/>
          </w:tcPr>
          <w:p w:rsidR="000D7101" w:rsidRDefault="000D7101" w:rsidP="00B74BF5">
            <w:pPr>
              <w:ind w:right="18"/>
              <w:rPr>
                <w:rFonts w:ascii="Arial" w:eastAsia="Arial" w:hAnsi="Arial"/>
                <w:sz w:val="20"/>
                <w:szCs w:val="20"/>
              </w:rPr>
            </w:pPr>
            <w:r>
              <w:rPr>
                <w:rFonts w:ascii="Arial" w:eastAsia="Arial" w:hAnsi="Arial"/>
                <w:sz w:val="20"/>
                <w:szCs w:val="20"/>
              </w:rPr>
              <w:t>mediante  la</w:t>
            </w:r>
          </w:p>
        </w:tc>
        <w:tc>
          <w:tcPr>
            <w:tcW w:w="1173" w:type="dxa"/>
            <w:vMerge w:val="restart"/>
            <w:tcBorders>
              <w:top w:val="nil"/>
              <w:left w:val="single" w:sz="4" w:space="0" w:color="auto"/>
              <w:bottom w:val="nil"/>
              <w:right w:val="single" w:sz="4" w:space="0" w:color="auto"/>
            </w:tcBorders>
            <w:shd w:val="clear" w:color="auto" w:fill="auto"/>
            <w:vAlign w:val="bottom"/>
          </w:tcPr>
          <w:p w:rsidR="000D7101" w:rsidRDefault="000D7101" w:rsidP="00B74BF5">
            <w:pPr>
              <w:ind w:right="18"/>
              <w:jc w:val="center"/>
              <w:rPr>
                <w:rFonts w:ascii="Arial" w:eastAsia="Arial" w:hAnsi="Arial"/>
                <w:w w:val="99"/>
                <w:sz w:val="20"/>
                <w:szCs w:val="20"/>
              </w:rPr>
            </w:pPr>
            <w:r>
              <w:rPr>
                <w:rFonts w:ascii="Arial" w:eastAsia="Arial" w:hAnsi="Arial"/>
                <w:w w:val="99"/>
                <w:sz w:val="20"/>
                <w:szCs w:val="20"/>
              </w:rPr>
              <w:t>PG</w:t>
            </w:r>
          </w:p>
        </w:tc>
      </w:tr>
      <w:tr w:rsidR="000D7101" w:rsidTr="00B74BF5">
        <w:trPr>
          <w:trHeight w:val="230"/>
        </w:trPr>
        <w:tc>
          <w:tcPr>
            <w:tcW w:w="7191" w:type="dxa"/>
            <w:gridSpan w:val="13"/>
            <w:tcBorders>
              <w:top w:val="nil"/>
              <w:left w:val="single" w:sz="4" w:space="0" w:color="auto"/>
              <w:bottom w:val="nil"/>
              <w:right w:val="single" w:sz="4" w:space="0" w:color="auto"/>
            </w:tcBorders>
            <w:shd w:val="clear" w:color="auto" w:fill="auto"/>
            <w:vAlign w:val="bottom"/>
          </w:tcPr>
          <w:p w:rsidR="000D7101" w:rsidRDefault="000D7101" w:rsidP="00B74BF5">
            <w:pPr>
              <w:ind w:right="18"/>
              <w:jc w:val="both"/>
              <w:rPr>
                <w:rFonts w:ascii="Arial" w:eastAsia="Arial" w:hAnsi="Arial"/>
                <w:sz w:val="20"/>
                <w:szCs w:val="20"/>
              </w:rPr>
            </w:pPr>
            <w:proofErr w:type="gramStart"/>
            <w:r>
              <w:rPr>
                <w:rFonts w:ascii="Arial" w:eastAsia="Arial" w:hAnsi="Arial"/>
                <w:sz w:val="20"/>
                <w:szCs w:val="20"/>
              </w:rPr>
              <w:t>combinación</w:t>
            </w:r>
            <w:proofErr w:type="gramEnd"/>
            <w:r>
              <w:rPr>
                <w:rFonts w:ascii="Arial" w:eastAsia="Arial" w:hAnsi="Arial"/>
                <w:sz w:val="20"/>
                <w:szCs w:val="20"/>
              </w:rPr>
              <w:t xml:space="preserve"> de recursos humanos materiales y financieros. Los programas se</w:t>
            </w:r>
          </w:p>
        </w:tc>
        <w:tc>
          <w:tcPr>
            <w:tcW w:w="1173" w:type="dxa"/>
            <w:vMerge/>
            <w:tcBorders>
              <w:top w:val="nil"/>
              <w:left w:val="single" w:sz="4" w:space="0" w:color="auto"/>
              <w:bottom w:val="nil"/>
              <w:right w:val="single" w:sz="4" w:space="0" w:color="auto"/>
            </w:tcBorders>
            <w:shd w:val="clear" w:color="auto" w:fill="auto"/>
            <w:vAlign w:val="bottom"/>
          </w:tcPr>
          <w:p w:rsidR="000D7101" w:rsidRDefault="000D7101" w:rsidP="00B74BF5">
            <w:pPr>
              <w:ind w:right="18"/>
              <w:rPr>
                <w:sz w:val="20"/>
                <w:szCs w:val="20"/>
              </w:rPr>
            </w:pPr>
          </w:p>
        </w:tc>
      </w:tr>
      <w:tr w:rsidR="000D7101" w:rsidTr="00B74BF5">
        <w:trPr>
          <w:trHeight w:val="219"/>
        </w:trPr>
        <w:tc>
          <w:tcPr>
            <w:tcW w:w="6073" w:type="dxa"/>
            <w:gridSpan w:val="11"/>
            <w:tcBorders>
              <w:top w:val="nil"/>
              <w:left w:val="single" w:sz="4" w:space="0" w:color="auto"/>
              <w:bottom w:val="nil"/>
              <w:right w:val="nil"/>
            </w:tcBorders>
            <w:shd w:val="clear" w:color="auto" w:fill="auto"/>
            <w:vAlign w:val="bottom"/>
          </w:tcPr>
          <w:p w:rsidR="000D7101" w:rsidRDefault="000D7101" w:rsidP="00B74BF5">
            <w:pPr>
              <w:ind w:right="18"/>
              <w:jc w:val="both"/>
              <w:rPr>
                <w:rFonts w:ascii="Arial" w:eastAsia="Arial" w:hAnsi="Arial"/>
                <w:sz w:val="20"/>
                <w:szCs w:val="20"/>
              </w:rPr>
            </w:pPr>
            <w:proofErr w:type="gramStart"/>
            <w:r>
              <w:rPr>
                <w:rFonts w:ascii="Arial" w:eastAsia="Arial" w:hAnsi="Arial"/>
                <w:sz w:val="20"/>
                <w:szCs w:val="20"/>
              </w:rPr>
              <w:t>derivan</w:t>
            </w:r>
            <w:proofErr w:type="gramEnd"/>
            <w:r>
              <w:rPr>
                <w:rFonts w:ascii="Arial" w:eastAsia="Arial" w:hAnsi="Arial"/>
                <w:sz w:val="20"/>
                <w:szCs w:val="20"/>
              </w:rPr>
              <w:t xml:space="preserve"> de lo establecido en el Plan Municipal de Desarrollo.</w:t>
            </w:r>
          </w:p>
        </w:tc>
        <w:tc>
          <w:tcPr>
            <w:tcW w:w="1088" w:type="dxa"/>
            <w:tcBorders>
              <w:top w:val="nil"/>
              <w:left w:val="nil"/>
              <w:bottom w:val="nil"/>
              <w:right w:val="nil"/>
            </w:tcBorders>
            <w:shd w:val="clear" w:color="auto" w:fill="auto"/>
            <w:vAlign w:val="bottom"/>
          </w:tcPr>
          <w:p w:rsidR="000D7101" w:rsidRDefault="000D7101" w:rsidP="00B74BF5">
            <w:pPr>
              <w:ind w:right="18"/>
              <w:rPr>
                <w:sz w:val="20"/>
                <w:szCs w:val="20"/>
              </w:rPr>
            </w:pPr>
          </w:p>
        </w:tc>
        <w:tc>
          <w:tcPr>
            <w:tcW w:w="30" w:type="dxa"/>
            <w:tcBorders>
              <w:top w:val="nil"/>
              <w:left w:val="nil"/>
              <w:bottom w:val="nil"/>
              <w:right w:val="single" w:sz="4" w:space="0" w:color="auto"/>
            </w:tcBorders>
            <w:shd w:val="clear" w:color="auto" w:fill="auto"/>
            <w:vAlign w:val="bottom"/>
          </w:tcPr>
          <w:p w:rsidR="000D7101" w:rsidRDefault="000D7101" w:rsidP="00B74BF5">
            <w:pPr>
              <w:ind w:right="18"/>
              <w:rPr>
                <w:sz w:val="20"/>
                <w:szCs w:val="20"/>
              </w:rPr>
            </w:pPr>
          </w:p>
        </w:tc>
        <w:tc>
          <w:tcPr>
            <w:tcW w:w="1173" w:type="dxa"/>
            <w:tcBorders>
              <w:top w:val="nil"/>
              <w:left w:val="single" w:sz="4" w:space="0" w:color="auto"/>
              <w:bottom w:val="nil"/>
              <w:right w:val="single" w:sz="4" w:space="0" w:color="auto"/>
            </w:tcBorders>
            <w:shd w:val="clear" w:color="auto" w:fill="auto"/>
            <w:vAlign w:val="bottom"/>
          </w:tcPr>
          <w:p w:rsidR="000D7101" w:rsidRDefault="000D7101" w:rsidP="00B74BF5">
            <w:pPr>
              <w:ind w:right="18"/>
              <w:rPr>
                <w:sz w:val="20"/>
                <w:szCs w:val="20"/>
              </w:rPr>
            </w:pPr>
          </w:p>
        </w:tc>
      </w:tr>
      <w:tr w:rsidR="000D7101" w:rsidTr="00B74BF5">
        <w:trPr>
          <w:trHeight w:val="50"/>
        </w:trPr>
        <w:tc>
          <w:tcPr>
            <w:tcW w:w="237" w:type="dxa"/>
            <w:tcBorders>
              <w:top w:val="nil"/>
              <w:left w:val="single" w:sz="4" w:space="0" w:color="auto"/>
              <w:bottom w:val="single" w:sz="4" w:space="0" w:color="auto"/>
              <w:right w:val="nil"/>
            </w:tcBorders>
            <w:shd w:val="clear" w:color="auto" w:fill="auto"/>
            <w:vAlign w:val="bottom"/>
          </w:tcPr>
          <w:p w:rsidR="000D7101" w:rsidRDefault="000D7101" w:rsidP="00B74BF5">
            <w:pPr>
              <w:ind w:right="18"/>
              <w:rPr>
                <w:sz w:val="20"/>
                <w:szCs w:val="20"/>
              </w:rPr>
            </w:pPr>
          </w:p>
        </w:tc>
        <w:tc>
          <w:tcPr>
            <w:tcW w:w="1153"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304"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1131"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284"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1154"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262"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1241" w:type="dxa"/>
            <w:gridSpan w:val="2"/>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262"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45"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1118" w:type="dxa"/>
            <w:gridSpan w:val="2"/>
            <w:tcBorders>
              <w:top w:val="nil"/>
              <w:left w:val="nil"/>
              <w:bottom w:val="single" w:sz="4" w:space="0" w:color="auto"/>
              <w:right w:val="single" w:sz="4" w:space="0" w:color="auto"/>
            </w:tcBorders>
            <w:shd w:val="clear" w:color="auto" w:fill="auto"/>
            <w:vAlign w:val="bottom"/>
          </w:tcPr>
          <w:p w:rsidR="000D7101" w:rsidRDefault="000D7101" w:rsidP="00B74BF5">
            <w:pPr>
              <w:ind w:right="18"/>
              <w:rPr>
                <w:sz w:val="20"/>
                <w:szCs w:val="20"/>
              </w:rPr>
            </w:pPr>
          </w:p>
        </w:tc>
        <w:tc>
          <w:tcPr>
            <w:tcW w:w="1173" w:type="dxa"/>
            <w:tcBorders>
              <w:top w:val="nil"/>
              <w:left w:val="single" w:sz="4" w:space="0" w:color="auto"/>
              <w:bottom w:val="single" w:sz="4" w:space="0" w:color="auto"/>
              <w:right w:val="single" w:sz="4" w:space="0" w:color="auto"/>
            </w:tcBorders>
            <w:shd w:val="clear" w:color="auto" w:fill="auto"/>
            <w:vAlign w:val="bottom"/>
          </w:tcPr>
          <w:p w:rsidR="000D7101" w:rsidRDefault="000D7101" w:rsidP="00B74BF5">
            <w:pPr>
              <w:ind w:right="18"/>
              <w:rPr>
                <w:sz w:val="20"/>
                <w:szCs w:val="20"/>
              </w:rPr>
            </w:pPr>
          </w:p>
        </w:tc>
      </w:tr>
      <w:tr w:rsidR="000D7101" w:rsidTr="00B74BF5">
        <w:trPr>
          <w:trHeight w:val="313"/>
        </w:trPr>
        <w:tc>
          <w:tcPr>
            <w:tcW w:w="7191" w:type="dxa"/>
            <w:gridSpan w:val="13"/>
            <w:tcBorders>
              <w:top w:val="single" w:sz="4" w:space="0" w:color="auto"/>
              <w:left w:val="single" w:sz="4" w:space="0" w:color="auto"/>
              <w:bottom w:val="nil"/>
              <w:right w:val="single" w:sz="4" w:space="0" w:color="auto"/>
            </w:tcBorders>
            <w:shd w:val="clear" w:color="auto" w:fill="auto"/>
            <w:vAlign w:val="bottom"/>
          </w:tcPr>
          <w:p w:rsidR="000D7101" w:rsidRDefault="000D7101" w:rsidP="00B74BF5">
            <w:pPr>
              <w:ind w:right="18"/>
              <w:jc w:val="both"/>
              <w:rPr>
                <w:rFonts w:ascii="Arial" w:eastAsia="Arial" w:hAnsi="Arial"/>
                <w:sz w:val="20"/>
                <w:szCs w:val="20"/>
              </w:rPr>
            </w:pPr>
            <w:r>
              <w:rPr>
                <w:rFonts w:ascii="Arial" w:eastAsia="Arial" w:hAnsi="Arial"/>
                <w:b/>
                <w:sz w:val="20"/>
                <w:szCs w:val="20"/>
              </w:rPr>
              <w:t xml:space="preserve">PROYECTO / PROCESO: </w:t>
            </w:r>
            <w:r>
              <w:rPr>
                <w:rFonts w:ascii="Arial" w:eastAsia="Arial" w:hAnsi="Arial"/>
                <w:sz w:val="20"/>
                <w:szCs w:val="20"/>
              </w:rPr>
              <w:t>Conjunto de acciones afines y complementarias que</w:t>
            </w:r>
          </w:p>
        </w:tc>
        <w:tc>
          <w:tcPr>
            <w:tcW w:w="1173" w:type="dxa"/>
            <w:vMerge w:val="restart"/>
            <w:tcBorders>
              <w:top w:val="single" w:sz="4" w:space="0" w:color="auto"/>
              <w:left w:val="single" w:sz="4" w:space="0" w:color="auto"/>
              <w:bottom w:val="nil"/>
              <w:right w:val="single" w:sz="4" w:space="0" w:color="auto"/>
            </w:tcBorders>
            <w:shd w:val="clear" w:color="auto" w:fill="auto"/>
            <w:vAlign w:val="bottom"/>
          </w:tcPr>
          <w:p w:rsidR="000D7101" w:rsidRDefault="000D7101" w:rsidP="00B74BF5">
            <w:pPr>
              <w:ind w:right="18"/>
              <w:jc w:val="center"/>
              <w:rPr>
                <w:rFonts w:ascii="Arial" w:eastAsia="Arial" w:hAnsi="Arial"/>
                <w:w w:val="99"/>
                <w:sz w:val="20"/>
                <w:szCs w:val="20"/>
              </w:rPr>
            </w:pPr>
            <w:r>
              <w:rPr>
                <w:rFonts w:ascii="Arial" w:eastAsia="Arial" w:hAnsi="Arial"/>
                <w:w w:val="99"/>
                <w:sz w:val="20"/>
                <w:szCs w:val="20"/>
              </w:rPr>
              <w:t>PY/PC</w:t>
            </w:r>
          </w:p>
          <w:p w:rsidR="000D7101" w:rsidRDefault="000D7101" w:rsidP="00B74BF5">
            <w:pPr>
              <w:ind w:right="18"/>
              <w:jc w:val="center"/>
              <w:rPr>
                <w:rFonts w:ascii="Arial" w:eastAsia="Arial" w:hAnsi="Arial"/>
                <w:w w:val="99"/>
                <w:sz w:val="20"/>
                <w:szCs w:val="20"/>
              </w:rPr>
            </w:pPr>
          </w:p>
        </w:tc>
      </w:tr>
      <w:tr w:rsidR="000D7101" w:rsidTr="00B74BF5">
        <w:trPr>
          <w:trHeight w:val="213"/>
        </w:trPr>
        <w:tc>
          <w:tcPr>
            <w:tcW w:w="7191" w:type="dxa"/>
            <w:gridSpan w:val="13"/>
            <w:tcBorders>
              <w:top w:val="nil"/>
              <w:left w:val="single" w:sz="4" w:space="0" w:color="auto"/>
              <w:bottom w:val="nil"/>
              <w:right w:val="single" w:sz="4" w:space="0" w:color="auto"/>
            </w:tcBorders>
            <w:shd w:val="clear" w:color="auto" w:fill="auto"/>
            <w:vAlign w:val="bottom"/>
          </w:tcPr>
          <w:p w:rsidR="000D7101" w:rsidRDefault="000D7101" w:rsidP="00B74BF5">
            <w:pPr>
              <w:ind w:right="18"/>
              <w:jc w:val="both"/>
              <w:rPr>
                <w:rFonts w:ascii="Arial" w:eastAsia="Arial" w:hAnsi="Arial"/>
                <w:sz w:val="20"/>
                <w:szCs w:val="20"/>
              </w:rPr>
            </w:pPr>
            <w:r>
              <w:rPr>
                <w:rFonts w:ascii="Arial" w:eastAsia="Arial" w:hAnsi="Arial"/>
                <w:sz w:val="20"/>
                <w:szCs w:val="20"/>
              </w:rPr>
              <w:t>forman una unidad y que están orientadas al cumplimiento de un programa de</w:t>
            </w:r>
          </w:p>
        </w:tc>
        <w:tc>
          <w:tcPr>
            <w:tcW w:w="1173" w:type="dxa"/>
            <w:vMerge/>
            <w:tcBorders>
              <w:top w:val="nil"/>
              <w:left w:val="single" w:sz="4" w:space="0" w:color="auto"/>
              <w:bottom w:val="nil"/>
              <w:right w:val="single" w:sz="4" w:space="0" w:color="auto"/>
            </w:tcBorders>
            <w:shd w:val="clear" w:color="auto" w:fill="auto"/>
            <w:vAlign w:val="bottom"/>
          </w:tcPr>
          <w:p w:rsidR="000D7101" w:rsidRDefault="000D7101" w:rsidP="00B74BF5">
            <w:pPr>
              <w:ind w:right="18"/>
              <w:rPr>
                <w:sz w:val="20"/>
                <w:szCs w:val="20"/>
              </w:rPr>
            </w:pPr>
          </w:p>
        </w:tc>
      </w:tr>
      <w:tr w:rsidR="000D7101" w:rsidTr="00B74BF5">
        <w:trPr>
          <w:trHeight w:val="213"/>
        </w:trPr>
        <w:tc>
          <w:tcPr>
            <w:tcW w:w="1694" w:type="dxa"/>
            <w:gridSpan w:val="3"/>
            <w:tcBorders>
              <w:top w:val="nil"/>
              <w:left w:val="single" w:sz="4" w:space="0" w:color="auto"/>
              <w:bottom w:val="nil"/>
              <w:right w:val="nil"/>
            </w:tcBorders>
            <w:shd w:val="clear" w:color="auto" w:fill="auto"/>
            <w:vAlign w:val="bottom"/>
          </w:tcPr>
          <w:p w:rsidR="000D7101" w:rsidRDefault="000D7101" w:rsidP="00B74BF5">
            <w:pPr>
              <w:ind w:right="18"/>
              <w:jc w:val="both"/>
              <w:rPr>
                <w:rFonts w:ascii="Arial" w:eastAsia="Arial" w:hAnsi="Arial"/>
                <w:sz w:val="20"/>
                <w:szCs w:val="20"/>
              </w:rPr>
            </w:pPr>
            <w:proofErr w:type="gramStart"/>
            <w:r>
              <w:rPr>
                <w:rFonts w:ascii="Arial" w:eastAsia="Arial" w:hAnsi="Arial"/>
                <w:sz w:val="20"/>
                <w:szCs w:val="20"/>
              </w:rPr>
              <w:t>gobierno</w:t>
            </w:r>
            <w:proofErr w:type="gramEnd"/>
            <w:r>
              <w:rPr>
                <w:rFonts w:ascii="Arial" w:eastAsia="Arial" w:hAnsi="Arial"/>
                <w:sz w:val="20"/>
                <w:szCs w:val="20"/>
              </w:rPr>
              <w:t>.</w:t>
            </w:r>
          </w:p>
        </w:tc>
        <w:tc>
          <w:tcPr>
            <w:tcW w:w="1131" w:type="dxa"/>
            <w:tcBorders>
              <w:top w:val="nil"/>
              <w:left w:val="nil"/>
              <w:bottom w:val="nil"/>
              <w:right w:val="nil"/>
            </w:tcBorders>
            <w:shd w:val="clear" w:color="auto" w:fill="auto"/>
            <w:vAlign w:val="bottom"/>
          </w:tcPr>
          <w:p w:rsidR="000D7101" w:rsidRDefault="000D7101" w:rsidP="00B74BF5">
            <w:pPr>
              <w:ind w:right="18"/>
              <w:rPr>
                <w:sz w:val="20"/>
                <w:szCs w:val="20"/>
              </w:rPr>
            </w:pPr>
          </w:p>
        </w:tc>
        <w:tc>
          <w:tcPr>
            <w:tcW w:w="284" w:type="dxa"/>
            <w:tcBorders>
              <w:top w:val="nil"/>
              <w:left w:val="nil"/>
              <w:bottom w:val="nil"/>
              <w:right w:val="nil"/>
            </w:tcBorders>
            <w:shd w:val="clear" w:color="auto" w:fill="auto"/>
            <w:vAlign w:val="bottom"/>
          </w:tcPr>
          <w:p w:rsidR="000D7101" w:rsidRDefault="000D7101" w:rsidP="00B74BF5">
            <w:pPr>
              <w:ind w:right="18"/>
              <w:rPr>
                <w:sz w:val="20"/>
                <w:szCs w:val="20"/>
              </w:rPr>
            </w:pPr>
          </w:p>
        </w:tc>
        <w:tc>
          <w:tcPr>
            <w:tcW w:w="1154" w:type="dxa"/>
            <w:tcBorders>
              <w:top w:val="nil"/>
              <w:left w:val="nil"/>
              <w:bottom w:val="nil"/>
              <w:right w:val="nil"/>
            </w:tcBorders>
            <w:shd w:val="clear" w:color="auto" w:fill="auto"/>
            <w:vAlign w:val="bottom"/>
          </w:tcPr>
          <w:p w:rsidR="000D7101" w:rsidRDefault="000D7101" w:rsidP="00B74BF5">
            <w:pPr>
              <w:ind w:right="18"/>
              <w:rPr>
                <w:sz w:val="20"/>
                <w:szCs w:val="20"/>
              </w:rPr>
            </w:pPr>
          </w:p>
        </w:tc>
        <w:tc>
          <w:tcPr>
            <w:tcW w:w="262" w:type="dxa"/>
            <w:tcBorders>
              <w:top w:val="nil"/>
              <w:left w:val="nil"/>
              <w:bottom w:val="nil"/>
              <w:right w:val="nil"/>
            </w:tcBorders>
            <w:shd w:val="clear" w:color="auto" w:fill="auto"/>
            <w:vAlign w:val="bottom"/>
          </w:tcPr>
          <w:p w:rsidR="000D7101" w:rsidRDefault="000D7101" w:rsidP="00B74BF5">
            <w:pPr>
              <w:ind w:right="18"/>
              <w:rPr>
                <w:sz w:val="20"/>
                <w:szCs w:val="20"/>
              </w:rPr>
            </w:pPr>
          </w:p>
        </w:tc>
        <w:tc>
          <w:tcPr>
            <w:tcW w:w="196" w:type="dxa"/>
            <w:tcBorders>
              <w:top w:val="nil"/>
              <w:left w:val="nil"/>
              <w:bottom w:val="nil"/>
              <w:right w:val="nil"/>
            </w:tcBorders>
            <w:shd w:val="clear" w:color="auto" w:fill="auto"/>
            <w:vAlign w:val="bottom"/>
          </w:tcPr>
          <w:p w:rsidR="000D7101" w:rsidRDefault="000D7101" w:rsidP="00B74BF5">
            <w:pPr>
              <w:ind w:right="18"/>
              <w:rPr>
                <w:sz w:val="20"/>
                <w:szCs w:val="20"/>
              </w:rPr>
            </w:pPr>
          </w:p>
        </w:tc>
        <w:tc>
          <w:tcPr>
            <w:tcW w:w="1045" w:type="dxa"/>
            <w:tcBorders>
              <w:top w:val="nil"/>
              <w:left w:val="nil"/>
              <w:bottom w:val="nil"/>
              <w:right w:val="nil"/>
            </w:tcBorders>
            <w:shd w:val="clear" w:color="auto" w:fill="auto"/>
            <w:vAlign w:val="bottom"/>
          </w:tcPr>
          <w:p w:rsidR="000D7101" w:rsidRDefault="000D7101" w:rsidP="00B74BF5">
            <w:pPr>
              <w:ind w:right="18"/>
              <w:rPr>
                <w:sz w:val="20"/>
                <w:szCs w:val="20"/>
              </w:rPr>
            </w:pPr>
          </w:p>
        </w:tc>
        <w:tc>
          <w:tcPr>
            <w:tcW w:w="262" w:type="dxa"/>
            <w:tcBorders>
              <w:top w:val="nil"/>
              <w:left w:val="nil"/>
              <w:bottom w:val="nil"/>
              <w:right w:val="nil"/>
            </w:tcBorders>
            <w:shd w:val="clear" w:color="auto" w:fill="auto"/>
            <w:vAlign w:val="bottom"/>
          </w:tcPr>
          <w:p w:rsidR="000D7101" w:rsidRDefault="000D7101" w:rsidP="00B74BF5">
            <w:pPr>
              <w:ind w:right="18"/>
              <w:rPr>
                <w:sz w:val="20"/>
                <w:szCs w:val="20"/>
              </w:rPr>
            </w:pPr>
          </w:p>
        </w:tc>
        <w:tc>
          <w:tcPr>
            <w:tcW w:w="45" w:type="dxa"/>
            <w:tcBorders>
              <w:top w:val="nil"/>
              <w:left w:val="nil"/>
              <w:bottom w:val="nil"/>
              <w:right w:val="nil"/>
            </w:tcBorders>
            <w:shd w:val="clear" w:color="auto" w:fill="auto"/>
            <w:vAlign w:val="bottom"/>
          </w:tcPr>
          <w:p w:rsidR="000D7101" w:rsidRDefault="000D7101" w:rsidP="00B74BF5">
            <w:pPr>
              <w:ind w:right="18"/>
              <w:rPr>
                <w:sz w:val="20"/>
                <w:szCs w:val="20"/>
              </w:rPr>
            </w:pPr>
          </w:p>
        </w:tc>
        <w:tc>
          <w:tcPr>
            <w:tcW w:w="1088" w:type="dxa"/>
            <w:tcBorders>
              <w:top w:val="nil"/>
              <w:left w:val="nil"/>
              <w:bottom w:val="nil"/>
              <w:right w:val="nil"/>
            </w:tcBorders>
            <w:shd w:val="clear" w:color="auto" w:fill="auto"/>
            <w:vAlign w:val="bottom"/>
          </w:tcPr>
          <w:p w:rsidR="000D7101" w:rsidRDefault="000D7101" w:rsidP="00B74BF5">
            <w:pPr>
              <w:ind w:right="18"/>
              <w:rPr>
                <w:sz w:val="20"/>
                <w:szCs w:val="20"/>
              </w:rPr>
            </w:pPr>
          </w:p>
        </w:tc>
        <w:tc>
          <w:tcPr>
            <w:tcW w:w="30" w:type="dxa"/>
            <w:tcBorders>
              <w:top w:val="nil"/>
              <w:left w:val="nil"/>
              <w:bottom w:val="nil"/>
              <w:right w:val="single" w:sz="4" w:space="0" w:color="auto"/>
            </w:tcBorders>
            <w:shd w:val="clear" w:color="auto" w:fill="auto"/>
            <w:vAlign w:val="bottom"/>
          </w:tcPr>
          <w:p w:rsidR="000D7101" w:rsidRDefault="000D7101" w:rsidP="00B74BF5">
            <w:pPr>
              <w:ind w:right="18"/>
              <w:rPr>
                <w:sz w:val="20"/>
                <w:szCs w:val="20"/>
              </w:rPr>
            </w:pPr>
          </w:p>
        </w:tc>
        <w:tc>
          <w:tcPr>
            <w:tcW w:w="1173" w:type="dxa"/>
            <w:tcBorders>
              <w:top w:val="nil"/>
              <w:left w:val="single" w:sz="4" w:space="0" w:color="auto"/>
              <w:bottom w:val="nil"/>
              <w:right w:val="single" w:sz="4" w:space="0" w:color="auto"/>
            </w:tcBorders>
            <w:shd w:val="clear" w:color="auto" w:fill="auto"/>
            <w:vAlign w:val="bottom"/>
          </w:tcPr>
          <w:p w:rsidR="000D7101" w:rsidRDefault="000D7101" w:rsidP="00B74BF5">
            <w:pPr>
              <w:ind w:right="18"/>
              <w:rPr>
                <w:sz w:val="20"/>
                <w:szCs w:val="20"/>
              </w:rPr>
            </w:pPr>
          </w:p>
        </w:tc>
      </w:tr>
      <w:tr w:rsidR="000D7101" w:rsidTr="00B74BF5">
        <w:trPr>
          <w:trHeight w:val="78"/>
        </w:trPr>
        <w:tc>
          <w:tcPr>
            <w:tcW w:w="237" w:type="dxa"/>
            <w:tcBorders>
              <w:top w:val="nil"/>
              <w:left w:val="single" w:sz="4" w:space="0" w:color="auto"/>
              <w:bottom w:val="single" w:sz="4" w:space="0" w:color="auto"/>
              <w:right w:val="nil"/>
            </w:tcBorders>
            <w:shd w:val="clear" w:color="auto" w:fill="auto"/>
            <w:vAlign w:val="bottom"/>
          </w:tcPr>
          <w:p w:rsidR="000D7101" w:rsidRDefault="000D7101" w:rsidP="00B74BF5">
            <w:pPr>
              <w:ind w:right="18"/>
              <w:rPr>
                <w:sz w:val="20"/>
                <w:szCs w:val="20"/>
              </w:rPr>
            </w:pPr>
          </w:p>
        </w:tc>
        <w:tc>
          <w:tcPr>
            <w:tcW w:w="1153"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304"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1131"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284"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1154"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262"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1241" w:type="dxa"/>
            <w:gridSpan w:val="2"/>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262"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45" w:type="dxa"/>
            <w:tcBorders>
              <w:top w:val="nil"/>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1118" w:type="dxa"/>
            <w:gridSpan w:val="2"/>
            <w:tcBorders>
              <w:top w:val="nil"/>
              <w:left w:val="nil"/>
              <w:bottom w:val="single" w:sz="4" w:space="0" w:color="auto"/>
              <w:right w:val="single" w:sz="4" w:space="0" w:color="auto"/>
            </w:tcBorders>
            <w:shd w:val="clear" w:color="auto" w:fill="auto"/>
            <w:vAlign w:val="bottom"/>
          </w:tcPr>
          <w:p w:rsidR="000D7101" w:rsidRDefault="000D7101" w:rsidP="00B74BF5">
            <w:pPr>
              <w:ind w:right="18"/>
              <w:rPr>
                <w:sz w:val="20"/>
                <w:szCs w:val="20"/>
              </w:rPr>
            </w:pPr>
          </w:p>
        </w:tc>
        <w:tc>
          <w:tcPr>
            <w:tcW w:w="1173" w:type="dxa"/>
            <w:tcBorders>
              <w:top w:val="nil"/>
              <w:left w:val="single" w:sz="4" w:space="0" w:color="auto"/>
              <w:bottom w:val="single" w:sz="4" w:space="0" w:color="auto"/>
              <w:right w:val="single" w:sz="4" w:space="0" w:color="auto"/>
            </w:tcBorders>
            <w:shd w:val="clear" w:color="auto" w:fill="auto"/>
            <w:vAlign w:val="bottom"/>
          </w:tcPr>
          <w:p w:rsidR="000D7101" w:rsidRDefault="000D7101" w:rsidP="00B74BF5">
            <w:pPr>
              <w:ind w:right="18"/>
              <w:rPr>
                <w:sz w:val="20"/>
                <w:szCs w:val="20"/>
              </w:rPr>
            </w:pPr>
          </w:p>
        </w:tc>
      </w:tr>
      <w:tr w:rsidR="000D7101" w:rsidTr="00B74BF5">
        <w:trPr>
          <w:trHeight w:val="316"/>
        </w:trPr>
        <w:tc>
          <w:tcPr>
            <w:tcW w:w="719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0D7101" w:rsidRDefault="000D7101" w:rsidP="00B74BF5">
            <w:pPr>
              <w:ind w:right="18"/>
              <w:jc w:val="both"/>
              <w:rPr>
                <w:rFonts w:ascii="Arial" w:hAnsi="Arial" w:cs="Arial"/>
                <w:sz w:val="20"/>
                <w:szCs w:val="20"/>
              </w:rPr>
            </w:pPr>
            <w:r>
              <w:rPr>
                <w:rFonts w:ascii="Arial" w:eastAsia="Arial" w:hAnsi="Arial"/>
                <w:b/>
                <w:sz w:val="20"/>
                <w:szCs w:val="20"/>
              </w:rPr>
              <w:t xml:space="preserve">UNIDAD EJECUTORA DE GASTO: </w:t>
            </w:r>
            <w:r>
              <w:rPr>
                <w:rFonts w:ascii="Arial" w:hAnsi="Arial" w:cs="Arial"/>
                <w:sz w:val="20"/>
                <w:szCs w:val="20"/>
              </w:rPr>
              <w:t>Las áreas del Municipio encargadas de realizar las erogaciones del gasto público con cargo al Presupuesto de Egresos.</w:t>
            </w:r>
          </w:p>
          <w:p w:rsidR="000D7101" w:rsidRDefault="000D7101" w:rsidP="00B74BF5">
            <w:pPr>
              <w:ind w:right="18"/>
              <w:jc w:val="both"/>
              <w:rPr>
                <w:rFonts w:ascii="Arial" w:eastAsia="Arial" w:hAnsi="Arial"/>
                <w:sz w:val="20"/>
                <w:szCs w:val="20"/>
              </w:rPr>
            </w:pPr>
            <w:r>
              <w:rPr>
                <w:rFonts w:ascii="Arial" w:eastAsia="Arial" w:hAnsi="Arial"/>
                <w:sz w:val="20"/>
                <w:szCs w:val="20"/>
              </w:rPr>
              <w:t xml:space="preserve">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rsidR="000D7101" w:rsidRDefault="000D7101" w:rsidP="00B74BF5">
            <w:pPr>
              <w:ind w:right="18"/>
              <w:jc w:val="center"/>
              <w:rPr>
                <w:rFonts w:ascii="Arial" w:eastAsia="Arial" w:hAnsi="Arial"/>
                <w:w w:val="99"/>
                <w:sz w:val="20"/>
                <w:szCs w:val="20"/>
              </w:rPr>
            </w:pPr>
          </w:p>
          <w:p w:rsidR="000D7101" w:rsidRDefault="000D7101" w:rsidP="00B74BF5">
            <w:pPr>
              <w:ind w:right="18"/>
              <w:jc w:val="center"/>
              <w:rPr>
                <w:rFonts w:ascii="Arial" w:eastAsia="Arial" w:hAnsi="Arial"/>
                <w:w w:val="99"/>
                <w:sz w:val="20"/>
                <w:szCs w:val="20"/>
              </w:rPr>
            </w:pPr>
            <w:r>
              <w:rPr>
                <w:rFonts w:ascii="Arial" w:eastAsia="Arial" w:hAnsi="Arial"/>
                <w:w w:val="99"/>
                <w:sz w:val="20"/>
                <w:szCs w:val="20"/>
              </w:rPr>
              <w:t>UEG</w:t>
            </w:r>
          </w:p>
          <w:p w:rsidR="000D7101" w:rsidRDefault="000D7101" w:rsidP="00B74BF5">
            <w:pPr>
              <w:ind w:right="18"/>
              <w:jc w:val="center"/>
              <w:rPr>
                <w:sz w:val="20"/>
                <w:szCs w:val="20"/>
              </w:rPr>
            </w:pPr>
          </w:p>
        </w:tc>
      </w:tr>
      <w:tr w:rsidR="000D7101" w:rsidTr="00B74BF5">
        <w:trPr>
          <w:trHeight w:val="272"/>
        </w:trPr>
        <w:tc>
          <w:tcPr>
            <w:tcW w:w="6073" w:type="dxa"/>
            <w:gridSpan w:val="11"/>
            <w:tcBorders>
              <w:top w:val="single" w:sz="4" w:space="0" w:color="auto"/>
              <w:left w:val="single" w:sz="4" w:space="0" w:color="auto"/>
              <w:bottom w:val="single" w:sz="4" w:space="0" w:color="auto"/>
              <w:right w:val="nil"/>
            </w:tcBorders>
            <w:shd w:val="clear" w:color="auto" w:fill="auto"/>
            <w:vAlign w:val="bottom"/>
          </w:tcPr>
          <w:p w:rsidR="000D7101" w:rsidRDefault="000D7101" w:rsidP="00B74BF5">
            <w:pPr>
              <w:ind w:right="18"/>
              <w:rPr>
                <w:rFonts w:ascii="Arial" w:eastAsia="Arial" w:hAnsi="Arial"/>
                <w:sz w:val="20"/>
                <w:szCs w:val="20"/>
              </w:rPr>
            </w:pPr>
            <w:r>
              <w:rPr>
                <w:rFonts w:ascii="Arial" w:eastAsia="Arial" w:hAnsi="Arial"/>
                <w:b/>
                <w:sz w:val="20"/>
                <w:szCs w:val="20"/>
              </w:rPr>
              <w:t xml:space="preserve">OBJETO DEL GASTO: </w:t>
            </w:r>
            <w:r>
              <w:rPr>
                <w:rFonts w:ascii="Arial" w:eastAsia="Arial" w:hAnsi="Arial"/>
                <w:sz w:val="20"/>
                <w:szCs w:val="20"/>
              </w:rPr>
              <w:t xml:space="preserve">Identifica el concepto del gasto. </w:t>
            </w:r>
          </w:p>
          <w:p w:rsidR="000D7101" w:rsidRDefault="000D7101" w:rsidP="00B74BF5">
            <w:pPr>
              <w:ind w:right="18"/>
              <w:rPr>
                <w:rFonts w:ascii="Arial" w:eastAsia="Arial" w:hAnsi="Arial"/>
                <w:sz w:val="20"/>
                <w:szCs w:val="20"/>
              </w:rPr>
            </w:pPr>
          </w:p>
        </w:tc>
        <w:tc>
          <w:tcPr>
            <w:tcW w:w="1088" w:type="dxa"/>
            <w:tcBorders>
              <w:top w:val="single" w:sz="4" w:space="0" w:color="auto"/>
              <w:left w:val="nil"/>
              <w:bottom w:val="single" w:sz="4" w:space="0" w:color="auto"/>
              <w:right w:val="nil"/>
            </w:tcBorders>
            <w:shd w:val="clear" w:color="auto" w:fill="auto"/>
            <w:vAlign w:val="bottom"/>
          </w:tcPr>
          <w:p w:rsidR="000D7101" w:rsidRDefault="000D7101" w:rsidP="00B74BF5">
            <w:pPr>
              <w:ind w:right="18"/>
              <w:rPr>
                <w:sz w:val="20"/>
                <w:szCs w:val="20"/>
              </w:rPr>
            </w:pPr>
          </w:p>
        </w:tc>
        <w:tc>
          <w:tcPr>
            <w:tcW w:w="30" w:type="dxa"/>
            <w:tcBorders>
              <w:top w:val="single" w:sz="4" w:space="0" w:color="auto"/>
              <w:left w:val="nil"/>
              <w:bottom w:val="single" w:sz="4" w:space="0" w:color="auto"/>
              <w:right w:val="single" w:sz="4" w:space="0" w:color="auto"/>
            </w:tcBorders>
            <w:shd w:val="clear" w:color="auto" w:fill="auto"/>
            <w:vAlign w:val="bottom"/>
          </w:tcPr>
          <w:p w:rsidR="000D7101" w:rsidRDefault="000D7101" w:rsidP="00B74BF5">
            <w:pPr>
              <w:ind w:right="18"/>
              <w:rPr>
                <w:sz w:val="20"/>
                <w:szCs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rsidR="000D7101" w:rsidRDefault="000D7101" w:rsidP="00B74BF5">
            <w:pPr>
              <w:ind w:right="18"/>
              <w:jc w:val="center"/>
              <w:rPr>
                <w:rFonts w:ascii="Arial" w:eastAsia="Arial" w:hAnsi="Arial"/>
                <w:w w:val="99"/>
                <w:sz w:val="20"/>
                <w:szCs w:val="20"/>
              </w:rPr>
            </w:pPr>
            <w:r>
              <w:rPr>
                <w:rFonts w:ascii="Arial" w:eastAsia="Arial" w:hAnsi="Arial"/>
                <w:w w:val="99"/>
                <w:sz w:val="20"/>
                <w:szCs w:val="20"/>
              </w:rPr>
              <w:t>OG</w:t>
            </w:r>
          </w:p>
          <w:p w:rsidR="000D7101" w:rsidRDefault="000D7101" w:rsidP="00B74BF5">
            <w:pPr>
              <w:ind w:right="18"/>
              <w:rPr>
                <w:rFonts w:ascii="Arial" w:eastAsia="Arial" w:hAnsi="Arial"/>
                <w:w w:val="99"/>
                <w:sz w:val="20"/>
                <w:szCs w:val="20"/>
              </w:rPr>
            </w:pPr>
          </w:p>
        </w:tc>
      </w:tr>
      <w:tr w:rsidR="000D7101" w:rsidTr="00B74BF5">
        <w:trPr>
          <w:trHeight w:val="212"/>
        </w:trPr>
        <w:tc>
          <w:tcPr>
            <w:tcW w:w="719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0D7101" w:rsidRDefault="000D7101" w:rsidP="00B74BF5">
            <w:pPr>
              <w:ind w:right="18"/>
              <w:rPr>
                <w:rFonts w:ascii="Arial" w:eastAsia="Arial" w:hAnsi="Arial"/>
                <w:sz w:val="20"/>
                <w:szCs w:val="20"/>
              </w:rPr>
            </w:pPr>
            <w:r>
              <w:rPr>
                <w:rFonts w:ascii="Arial" w:eastAsia="Arial" w:hAnsi="Arial"/>
                <w:b/>
                <w:sz w:val="20"/>
                <w:szCs w:val="20"/>
              </w:rPr>
              <w:t xml:space="preserve">DESTINO: </w:t>
            </w:r>
            <w:r>
              <w:rPr>
                <w:rFonts w:ascii="Arial" w:eastAsia="Arial" w:hAnsi="Arial"/>
                <w:sz w:val="20"/>
                <w:szCs w:val="20"/>
              </w:rPr>
              <w:t>Permite registrar el nivel específico que tienen algunas asignaciones presupuestarias.</w:t>
            </w:r>
          </w:p>
          <w:p w:rsidR="000D7101" w:rsidRDefault="000D7101" w:rsidP="00B74BF5">
            <w:pPr>
              <w:ind w:right="18"/>
              <w:rPr>
                <w:rFonts w:ascii="Arial" w:eastAsia="Arial" w:hAnsi="Arial"/>
                <w:sz w:val="20"/>
                <w:szCs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rsidR="000D7101" w:rsidRDefault="000D7101" w:rsidP="00B74BF5">
            <w:pPr>
              <w:ind w:right="18"/>
              <w:jc w:val="center"/>
              <w:rPr>
                <w:rFonts w:ascii="Arial" w:eastAsia="Arial" w:hAnsi="Arial"/>
                <w:w w:val="99"/>
                <w:sz w:val="20"/>
                <w:szCs w:val="20"/>
              </w:rPr>
            </w:pPr>
            <w:r>
              <w:rPr>
                <w:rFonts w:ascii="Arial" w:eastAsia="Arial" w:hAnsi="Arial"/>
                <w:w w:val="99"/>
                <w:sz w:val="20"/>
                <w:szCs w:val="20"/>
              </w:rPr>
              <w:t>DEST</w:t>
            </w:r>
          </w:p>
          <w:p w:rsidR="000D7101" w:rsidRDefault="000D7101" w:rsidP="00B74BF5">
            <w:pPr>
              <w:ind w:right="18"/>
              <w:jc w:val="center"/>
              <w:rPr>
                <w:rFonts w:ascii="Arial" w:eastAsia="Arial" w:hAnsi="Arial"/>
                <w:w w:val="99"/>
                <w:sz w:val="20"/>
                <w:szCs w:val="20"/>
              </w:rPr>
            </w:pPr>
          </w:p>
        </w:tc>
      </w:tr>
      <w:tr w:rsidR="000D7101" w:rsidTr="00B74BF5">
        <w:trPr>
          <w:trHeight w:val="313"/>
        </w:trPr>
        <w:tc>
          <w:tcPr>
            <w:tcW w:w="719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0D7101" w:rsidRDefault="000D7101" w:rsidP="00B74BF5">
            <w:pPr>
              <w:ind w:right="18"/>
              <w:jc w:val="both"/>
              <w:rPr>
                <w:rFonts w:ascii="Arial" w:eastAsia="Arial" w:hAnsi="Arial"/>
                <w:sz w:val="20"/>
                <w:szCs w:val="20"/>
              </w:rPr>
            </w:pPr>
            <w:r>
              <w:rPr>
                <w:rFonts w:ascii="Arial" w:eastAsia="Arial" w:hAnsi="Arial"/>
                <w:b/>
                <w:sz w:val="20"/>
                <w:szCs w:val="20"/>
              </w:rPr>
              <w:t xml:space="preserve">FUENTE DE FINANCIAMIENTO: </w:t>
            </w:r>
            <w:r>
              <w:rPr>
                <w:rFonts w:ascii="Arial" w:hAnsi="Arial" w:cs="Arial"/>
                <w:bCs/>
                <w:sz w:val="20"/>
                <w:szCs w:val="20"/>
              </w:rPr>
              <w:t>El origen o procedencia de los ingresos que obtiene el Municipio para sostener el gasto público, tales como recursos fiscales, recursos estatales, recursos federales, aportaciones para fines específicos, donativos, entre otros.</w:t>
            </w:r>
          </w:p>
          <w:p w:rsidR="000D7101" w:rsidRDefault="000D7101" w:rsidP="00B74BF5">
            <w:pPr>
              <w:ind w:right="18"/>
              <w:rPr>
                <w:rFonts w:ascii="Arial" w:eastAsia="Arial" w:hAnsi="Arial"/>
                <w:sz w:val="20"/>
                <w:szCs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rsidR="000D7101" w:rsidRDefault="000D7101" w:rsidP="00B74BF5">
            <w:pPr>
              <w:ind w:right="18"/>
              <w:jc w:val="center"/>
              <w:rPr>
                <w:rFonts w:ascii="Arial" w:eastAsia="Arial" w:hAnsi="Arial"/>
                <w:w w:val="97"/>
                <w:sz w:val="20"/>
                <w:szCs w:val="20"/>
              </w:rPr>
            </w:pPr>
            <w:r>
              <w:rPr>
                <w:rFonts w:ascii="Arial" w:eastAsia="Arial" w:hAnsi="Arial"/>
                <w:w w:val="97"/>
                <w:sz w:val="20"/>
                <w:szCs w:val="20"/>
              </w:rPr>
              <w:t>FF</w:t>
            </w:r>
          </w:p>
          <w:p w:rsidR="000D7101" w:rsidRDefault="000D7101" w:rsidP="00B74BF5">
            <w:pPr>
              <w:ind w:right="18"/>
              <w:jc w:val="center"/>
              <w:rPr>
                <w:rFonts w:ascii="Arial" w:eastAsia="Arial" w:hAnsi="Arial"/>
                <w:w w:val="97"/>
                <w:sz w:val="20"/>
                <w:szCs w:val="20"/>
              </w:rPr>
            </w:pPr>
          </w:p>
          <w:p w:rsidR="000D7101" w:rsidRDefault="000D7101" w:rsidP="00B74BF5">
            <w:pPr>
              <w:ind w:right="18"/>
              <w:jc w:val="center"/>
              <w:rPr>
                <w:rFonts w:ascii="Arial" w:eastAsia="Arial" w:hAnsi="Arial"/>
                <w:w w:val="97"/>
                <w:sz w:val="20"/>
                <w:szCs w:val="20"/>
              </w:rPr>
            </w:pPr>
          </w:p>
          <w:p w:rsidR="000D7101" w:rsidRDefault="000D7101" w:rsidP="00B74BF5">
            <w:pPr>
              <w:ind w:right="18"/>
              <w:jc w:val="center"/>
              <w:rPr>
                <w:sz w:val="20"/>
                <w:szCs w:val="20"/>
              </w:rPr>
            </w:pPr>
          </w:p>
        </w:tc>
      </w:tr>
    </w:tbl>
    <w:p w:rsidR="000D7101" w:rsidRDefault="000D7101" w:rsidP="000D7101">
      <w:pPr>
        <w:ind w:right="18"/>
        <w:rPr>
          <w:rFonts w:ascii="Arial" w:hAnsi="Arial" w:cs="Arial"/>
          <w:sz w:val="20"/>
          <w:szCs w:val="20"/>
        </w:rPr>
      </w:pPr>
    </w:p>
    <w:p w:rsidR="000D7101" w:rsidRDefault="000D7101" w:rsidP="000D7101">
      <w:pPr>
        <w:ind w:right="18"/>
        <w:rPr>
          <w:rFonts w:ascii="Arial" w:hAnsi="Arial" w:cs="Arial"/>
          <w:sz w:val="20"/>
          <w:szCs w:val="20"/>
        </w:rPr>
      </w:pPr>
    </w:p>
    <w:p w:rsidR="000D7101" w:rsidRPr="00C441DA" w:rsidRDefault="000D7101" w:rsidP="000D7101">
      <w:pPr>
        <w:tabs>
          <w:tab w:val="left" w:pos="860"/>
        </w:tabs>
        <w:ind w:right="18"/>
        <w:jc w:val="both"/>
        <w:rPr>
          <w:rFonts w:ascii="Arial" w:eastAsia="Arial" w:hAnsi="Arial" w:cs="Arial"/>
          <w:b/>
          <w:sz w:val="21"/>
          <w:szCs w:val="21"/>
        </w:rPr>
      </w:pPr>
      <w:r w:rsidRPr="00C441DA">
        <w:rPr>
          <w:rFonts w:ascii="Arial" w:eastAsia="Arial" w:hAnsi="Arial" w:cs="Arial"/>
          <w:b/>
          <w:sz w:val="21"/>
          <w:szCs w:val="21"/>
        </w:rPr>
        <w:t xml:space="preserve">ARTÍCULO 11.- </w:t>
      </w:r>
      <w:r w:rsidRPr="00C441DA">
        <w:rPr>
          <w:rFonts w:ascii="Arial" w:eastAsia="Arial" w:hAnsi="Arial" w:cs="Arial"/>
          <w:sz w:val="21"/>
          <w:szCs w:val="21"/>
        </w:rPr>
        <w:t>Las Dependencias, Unidades Ejecutoras del Gasto y Entidades Paramunicipales deberán utilizar la clave presupuestal a nivel de partida específica, tanto en la apertura, como en el registro, control de sus presupuestos y en los documentos presupuestarios.</w:t>
      </w:r>
    </w:p>
    <w:p w:rsidR="000D7101" w:rsidRPr="00C441DA" w:rsidRDefault="000D7101" w:rsidP="000D7101">
      <w:pPr>
        <w:ind w:right="18"/>
        <w:jc w:val="center"/>
        <w:rPr>
          <w:rFonts w:ascii="Arial" w:hAnsi="Arial" w:cs="Arial"/>
          <w:b/>
          <w:bCs/>
          <w:sz w:val="21"/>
          <w:szCs w:val="21"/>
        </w:rPr>
      </w:pPr>
    </w:p>
    <w:p w:rsidR="000D7101" w:rsidRPr="00C441DA" w:rsidRDefault="000D7101" w:rsidP="000D7101">
      <w:pPr>
        <w:pStyle w:val="Ttulo3"/>
        <w:ind w:right="18"/>
        <w:rPr>
          <w:rFonts w:cs="Arial"/>
          <w:sz w:val="21"/>
          <w:szCs w:val="21"/>
          <w:lang w:val="es-MX"/>
        </w:rPr>
      </w:pPr>
    </w:p>
    <w:p w:rsidR="000D7101" w:rsidRPr="00C441DA" w:rsidRDefault="000D7101" w:rsidP="000D7101">
      <w:pPr>
        <w:pStyle w:val="Ttulo3"/>
        <w:ind w:right="18"/>
        <w:rPr>
          <w:rFonts w:cs="Arial"/>
          <w:sz w:val="21"/>
          <w:szCs w:val="21"/>
          <w:lang w:val="es-MX"/>
        </w:rPr>
      </w:pPr>
      <w:r w:rsidRPr="00C441DA">
        <w:rPr>
          <w:rFonts w:cs="Arial"/>
          <w:sz w:val="21"/>
          <w:szCs w:val="21"/>
          <w:lang w:val="es-MX"/>
        </w:rPr>
        <w:t>CAPÍTULO II</w:t>
      </w:r>
    </w:p>
    <w:p w:rsidR="000D7101" w:rsidRPr="00C441DA" w:rsidRDefault="000D7101" w:rsidP="000D7101">
      <w:pPr>
        <w:ind w:right="18"/>
        <w:jc w:val="center"/>
        <w:rPr>
          <w:rFonts w:ascii="Arial" w:hAnsi="Arial" w:cs="Arial"/>
          <w:b/>
          <w:bCs/>
          <w:sz w:val="21"/>
          <w:szCs w:val="21"/>
        </w:rPr>
      </w:pPr>
      <w:r w:rsidRPr="00C441DA">
        <w:rPr>
          <w:rFonts w:ascii="Arial" w:hAnsi="Arial" w:cs="Arial"/>
          <w:b/>
          <w:bCs/>
          <w:sz w:val="21"/>
          <w:szCs w:val="21"/>
        </w:rPr>
        <w:t>DEL CLASIFICADOR POR OBJETO Y TIPO DE GASTO</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ARTÍCULO 12.-</w:t>
      </w:r>
      <w:r w:rsidRPr="00C441DA">
        <w:rPr>
          <w:rFonts w:ascii="Arial" w:hAnsi="Arial" w:cs="Arial"/>
          <w:sz w:val="21"/>
          <w:szCs w:val="21"/>
        </w:rPr>
        <w:t xml:space="preserve"> </w:t>
      </w:r>
      <w:r w:rsidRPr="00C441DA">
        <w:rPr>
          <w:rFonts w:ascii="Arial" w:eastAsia="Arial" w:hAnsi="Arial" w:cs="Arial"/>
          <w:sz w:val="21"/>
          <w:szCs w:val="21"/>
        </w:rPr>
        <w:t>El Ayuntamiento adopta la codificación del objeto del gasto publicado por el Consejo de Nacional de Armonización Contable, siendo la siguiente:</w:t>
      </w:r>
    </w:p>
    <w:p w:rsidR="000D7101" w:rsidRDefault="000D7101" w:rsidP="000D7101">
      <w:pPr>
        <w:ind w:right="18"/>
        <w:jc w:val="both"/>
        <w:rPr>
          <w:rFonts w:ascii="Arial" w:hAnsi="Arial" w:cs="Arial"/>
          <w:sz w:val="21"/>
          <w:szCs w:val="21"/>
        </w:rPr>
      </w:pPr>
    </w:p>
    <w:p w:rsidR="000D7101" w:rsidRDefault="000D7101" w:rsidP="000D7101">
      <w:pPr>
        <w:ind w:right="18"/>
        <w:jc w:val="both"/>
        <w:rPr>
          <w:rFonts w:ascii="Arial" w:hAnsi="Arial" w:cs="Arial"/>
          <w:sz w:val="20"/>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2410"/>
        <w:gridCol w:w="1843"/>
      </w:tblGrid>
      <w:tr w:rsidR="000D7101" w:rsidTr="00B74BF5">
        <w:tc>
          <w:tcPr>
            <w:tcW w:w="8364" w:type="dxa"/>
            <w:gridSpan w:val="4"/>
            <w:shd w:val="clear" w:color="auto" w:fill="auto"/>
          </w:tcPr>
          <w:p w:rsidR="000D7101" w:rsidRDefault="000D7101" w:rsidP="00B74BF5">
            <w:pPr>
              <w:ind w:right="18"/>
              <w:jc w:val="center"/>
              <w:rPr>
                <w:rFonts w:ascii="Arial" w:hAnsi="Arial" w:cs="Arial"/>
                <w:sz w:val="20"/>
                <w:szCs w:val="20"/>
              </w:rPr>
            </w:pPr>
            <w:r>
              <w:rPr>
                <w:rFonts w:ascii="Arial" w:hAnsi="Arial" w:cs="Arial"/>
                <w:sz w:val="20"/>
                <w:szCs w:val="20"/>
              </w:rPr>
              <w:t>CODIFICACION</w:t>
            </w:r>
          </w:p>
        </w:tc>
      </w:tr>
      <w:tr w:rsidR="000D7101" w:rsidTr="00B74BF5">
        <w:tc>
          <w:tcPr>
            <w:tcW w:w="1843" w:type="dxa"/>
            <w:vMerge w:val="restart"/>
            <w:shd w:val="clear" w:color="auto" w:fill="auto"/>
            <w:vAlign w:val="center"/>
          </w:tcPr>
          <w:p w:rsidR="000D7101" w:rsidRDefault="000D7101" w:rsidP="00B74BF5">
            <w:pPr>
              <w:ind w:right="18"/>
              <w:jc w:val="center"/>
              <w:rPr>
                <w:rFonts w:ascii="Arial" w:hAnsi="Arial" w:cs="Arial"/>
                <w:sz w:val="20"/>
                <w:szCs w:val="20"/>
              </w:rPr>
            </w:pPr>
            <w:r>
              <w:rPr>
                <w:rFonts w:ascii="Arial" w:hAnsi="Arial" w:cs="Arial"/>
                <w:sz w:val="20"/>
                <w:szCs w:val="20"/>
              </w:rPr>
              <w:t>Capítulo</w:t>
            </w:r>
          </w:p>
        </w:tc>
        <w:tc>
          <w:tcPr>
            <w:tcW w:w="2268" w:type="dxa"/>
            <w:vMerge w:val="restart"/>
            <w:shd w:val="clear" w:color="auto" w:fill="auto"/>
            <w:vAlign w:val="center"/>
          </w:tcPr>
          <w:p w:rsidR="000D7101" w:rsidRDefault="000D7101" w:rsidP="00B74BF5">
            <w:pPr>
              <w:ind w:right="18"/>
              <w:jc w:val="center"/>
              <w:rPr>
                <w:rFonts w:ascii="Arial" w:hAnsi="Arial" w:cs="Arial"/>
                <w:sz w:val="20"/>
                <w:szCs w:val="20"/>
              </w:rPr>
            </w:pPr>
            <w:r>
              <w:rPr>
                <w:rFonts w:ascii="Arial" w:hAnsi="Arial" w:cs="Arial"/>
                <w:sz w:val="20"/>
                <w:szCs w:val="20"/>
              </w:rPr>
              <w:t>Concepto</w:t>
            </w:r>
          </w:p>
        </w:tc>
        <w:tc>
          <w:tcPr>
            <w:tcW w:w="4253" w:type="dxa"/>
            <w:gridSpan w:val="2"/>
            <w:shd w:val="clear" w:color="auto" w:fill="auto"/>
          </w:tcPr>
          <w:p w:rsidR="000D7101" w:rsidRDefault="000D7101" w:rsidP="00B74BF5">
            <w:pPr>
              <w:ind w:right="18"/>
              <w:jc w:val="center"/>
              <w:rPr>
                <w:rFonts w:ascii="Arial" w:hAnsi="Arial" w:cs="Arial"/>
                <w:sz w:val="20"/>
                <w:szCs w:val="20"/>
              </w:rPr>
            </w:pPr>
            <w:r>
              <w:rPr>
                <w:rFonts w:ascii="Arial" w:hAnsi="Arial" w:cs="Arial"/>
                <w:sz w:val="20"/>
                <w:szCs w:val="20"/>
              </w:rPr>
              <w:t>Partida</w:t>
            </w:r>
          </w:p>
        </w:tc>
      </w:tr>
      <w:tr w:rsidR="000D7101" w:rsidTr="00B74BF5">
        <w:tc>
          <w:tcPr>
            <w:tcW w:w="1843" w:type="dxa"/>
            <w:vMerge/>
            <w:shd w:val="clear" w:color="auto" w:fill="auto"/>
          </w:tcPr>
          <w:p w:rsidR="000D7101" w:rsidRDefault="000D7101" w:rsidP="00B74BF5">
            <w:pPr>
              <w:ind w:right="18"/>
              <w:jc w:val="center"/>
              <w:rPr>
                <w:rFonts w:ascii="Arial" w:hAnsi="Arial" w:cs="Arial"/>
                <w:sz w:val="20"/>
                <w:szCs w:val="20"/>
              </w:rPr>
            </w:pPr>
          </w:p>
        </w:tc>
        <w:tc>
          <w:tcPr>
            <w:tcW w:w="2268" w:type="dxa"/>
            <w:vMerge/>
            <w:shd w:val="clear" w:color="auto" w:fill="auto"/>
            <w:vAlign w:val="center"/>
          </w:tcPr>
          <w:p w:rsidR="000D7101" w:rsidRDefault="000D7101" w:rsidP="00B74BF5">
            <w:pPr>
              <w:ind w:right="18"/>
              <w:jc w:val="center"/>
              <w:rPr>
                <w:rFonts w:ascii="Arial" w:hAnsi="Arial" w:cs="Arial"/>
                <w:sz w:val="20"/>
                <w:szCs w:val="20"/>
              </w:rPr>
            </w:pPr>
          </w:p>
        </w:tc>
        <w:tc>
          <w:tcPr>
            <w:tcW w:w="2410" w:type="dxa"/>
            <w:shd w:val="clear" w:color="auto" w:fill="auto"/>
          </w:tcPr>
          <w:p w:rsidR="000D7101" w:rsidRDefault="000D7101" w:rsidP="00B74BF5">
            <w:pPr>
              <w:ind w:right="18"/>
              <w:jc w:val="center"/>
              <w:rPr>
                <w:rFonts w:ascii="Arial" w:hAnsi="Arial" w:cs="Arial"/>
                <w:sz w:val="20"/>
                <w:szCs w:val="20"/>
              </w:rPr>
            </w:pPr>
            <w:r>
              <w:rPr>
                <w:rFonts w:ascii="Arial" w:hAnsi="Arial" w:cs="Arial"/>
                <w:sz w:val="20"/>
                <w:szCs w:val="20"/>
              </w:rPr>
              <w:t>Genérica</w:t>
            </w:r>
          </w:p>
        </w:tc>
        <w:tc>
          <w:tcPr>
            <w:tcW w:w="1843" w:type="dxa"/>
            <w:shd w:val="clear" w:color="auto" w:fill="auto"/>
          </w:tcPr>
          <w:p w:rsidR="000D7101" w:rsidRDefault="000D7101" w:rsidP="00B74BF5">
            <w:pPr>
              <w:ind w:right="18"/>
              <w:jc w:val="center"/>
              <w:rPr>
                <w:rFonts w:ascii="Arial" w:hAnsi="Arial" w:cs="Arial"/>
                <w:sz w:val="20"/>
                <w:szCs w:val="20"/>
              </w:rPr>
            </w:pPr>
            <w:r>
              <w:rPr>
                <w:rFonts w:ascii="Arial" w:hAnsi="Arial" w:cs="Arial"/>
                <w:sz w:val="20"/>
                <w:szCs w:val="20"/>
              </w:rPr>
              <w:t>Específica</w:t>
            </w:r>
          </w:p>
        </w:tc>
      </w:tr>
      <w:tr w:rsidR="000D7101" w:rsidTr="00B74BF5">
        <w:tc>
          <w:tcPr>
            <w:tcW w:w="1843" w:type="dxa"/>
            <w:shd w:val="clear" w:color="auto" w:fill="auto"/>
          </w:tcPr>
          <w:p w:rsidR="000D7101" w:rsidRDefault="000D7101" w:rsidP="00B74BF5">
            <w:pPr>
              <w:ind w:right="18"/>
              <w:jc w:val="center"/>
              <w:rPr>
                <w:rFonts w:ascii="Arial" w:hAnsi="Arial" w:cs="Arial"/>
                <w:sz w:val="20"/>
                <w:szCs w:val="20"/>
              </w:rPr>
            </w:pPr>
            <w:r>
              <w:rPr>
                <w:rFonts w:ascii="Arial" w:hAnsi="Arial" w:cs="Arial"/>
                <w:sz w:val="20"/>
                <w:szCs w:val="20"/>
              </w:rPr>
              <w:t>X000</w:t>
            </w:r>
          </w:p>
        </w:tc>
        <w:tc>
          <w:tcPr>
            <w:tcW w:w="2268" w:type="dxa"/>
            <w:shd w:val="clear" w:color="auto" w:fill="auto"/>
          </w:tcPr>
          <w:p w:rsidR="000D7101" w:rsidRDefault="000D7101" w:rsidP="00B74BF5">
            <w:pPr>
              <w:ind w:right="18"/>
              <w:jc w:val="center"/>
              <w:rPr>
                <w:rFonts w:ascii="Arial" w:hAnsi="Arial" w:cs="Arial"/>
                <w:sz w:val="20"/>
                <w:szCs w:val="20"/>
              </w:rPr>
            </w:pPr>
            <w:r>
              <w:rPr>
                <w:rFonts w:ascii="Arial" w:hAnsi="Arial" w:cs="Arial"/>
                <w:sz w:val="20"/>
                <w:szCs w:val="20"/>
              </w:rPr>
              <w:t>XX00</w:t>
            </w:r>
          </w:p>
        </w:tc>
        <w:tc>
          <w:tcPr>
            <w:tcW w:w="2410" w:type="dxa"/>
            <w:shd w:val="clear" w:color="auto" w:fill="auto"/>
          </w:tcPr>
          <w:p w:rsidR="000D7101" w:rsidRDefault="000D7101" w:rsidP="00B74BF5">
            <w:pPr>
              <w:ind w:right="18"/>
              <w:jc w:val="center"/>
              <w:rPr>
                <w:rFonts w:ascii="Arial" w:hAnsi="Arial" w:cs="Arial"/>
                <w:sz w:val="20"/>
                <w:szCs w:val="20"/>
              </w:rPr>
            </w:pPr>
            <w:r>
              <w:rPr>
                <w:rFonts w:ascii="Arial" w:hAnsi="Arial" w:cs="Arial"/>
                <w:sz w:val="20"/>
                <w:szCs w:val="20"/>
              </w:rPr>
              <w:t>XXX0</w:t>
            </w:r>
          </w:p>
        </w:tc>
        <w:tc>
          <w:tcPr>
            <w:tcW w:w="1843" w:type="dxa"/>
            <w:shd w:val="clear" w:color="auto" w:fill="auto"/>
          </w:tcPr>
          <w:p w:rsidR="000D7101" w:rsidRDefault="000D7101" w:rsidP="00B74BF5">
            <w:pPr>
              <w:ind w:right="18"/>
              <w:jc w:val="center"/>
              <w:rPr>
                <w:rFonts w:ascii="Arial" w:hAnsi="Arial" w:cs="Arial"/>
                <w:sz w:val="20"/>
                <w:szCs w:val="20"/>
              </w:rPr>
            </w:pPr>
            <w:r>
              <w:rPr>
                <w:rFonts w:ascii="Arial" w:hAnsi="Arial" w:cs="Arial"/>
                <w:sz w:val="20"/>
                <w:szCs w:val="20"/>
              </w:rPr>
              <w:t>XXXX</w:t>
            </w:r>
          </w:p>
        </w:tc>
      </w:tr>
    </w:tbl>
    <w:p w:rsidR="000D7101" w:rsidRDefault="000D7101" w:rsidP="000D7101">
      <w:pPr>
        <w:ind w:right="18"/>
        <w:rPr>
          <w:rFonts w:ascii="Arial" w:hAnsi="Arial" w:cs="Arial"/>
          <w:sz w:val="20"/>
          <w:szCs w:val="20"/>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lastRenderedPageBreak/>
        <w:t xml:space="preserve">I. Capítulo: Es el mayor nivel de agregación que identifica el conjunto homogéneo y ordenado de los bienes y servicios requeridos por las </w:t>
      </w:r>
      <w:r w:rsidRPr="00C441DA">
        <w:rPr>
          <w:rFonts w:ascii="Arial" w:eastAsia="Arial" w:hAnsi="Arial" w:cs="Arial"/>
          <w:sz w:val="21"/>
          <w:szCs w:val="21"/>
        </w:rPr>
        <w:t>Dependencias, Unidades Ejecutoras del Gasto y Entidades Paramunicipales</w:t>
      </w:r>
      <w:r>
        <w:rPr>
          <w:rFonts w:ascii="Arial" w:hAnsi="Arial" w:cs="Arial"/>
          <w:sz w:val="21"/>
          <w:szCs w:val="21"/>
        </w:rPr>
        <w:t>;</w:t>
      </w:r>
    </w:p>
    <w:p w:rsidR="000D7101" w:rsidRPr="00C441DA" w:rsidRDefault="000D7101" w:rsidP="000D7101">
      <w:pPr>
        <w:tabs>
          <w:tab w:val="left" w:pos="470"/>
        </w:tabs>
        <w:ind w:right="18"/>
        <w:jc w:val="both"/>
        <w:rPr>
          <w:rFonts w:ascii="Arial" w:hAnsi="Arial" w:cs="Arial"/>
          <w:sz w:val="21"/>
          <w:szCs w:val="21"/>
        </w:rPr>
      </w:pPr>
      <w:r w:rsidRPr="00C441DA">
        <w:rPr>
          <w:rFonts w:ascii="Arial" w:hAnsi="Arial" w:cs="Arial"/>
          <w:sz w:val="21"/>
          <w:szCs w:val="21"/>
        </w:rPr>
        <w:tab/>
      </w: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II. Concepto: Son subconjuntos homogéneos y ordenados en forma específica, producto de la desagregación de los bienes y servicios, inclui</w:t>
      </w:r>
      <w:r>
        <w:rPr>
          <w:rFonts w:ascii="Arial" w:hAnsi="Arial" w:cs="Arial"/>
          <w:sz w:val="21"/>
          <w:szCs w:val="21"/>
        </w:rPr>
        <w:t>dos en cada capítulo;</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III. Partida: Es el nivel de agregación más específico en el cual se describen las expresiones concretas y detalladas de los bienes y servicios q</w:t>
      </w:r>
      <w:r>
        <w:rPr>
          <w:rFonts w:ascii="Arial" w:hAnsi="Arial" w:cs="Arial"/>
          <w:sz w:val="21"/>
          <w:szCs w:val="21"/>
        </w:rPr>
        <w:t>ue se adquieren y se compone de;</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 xml:space="preserve">a) La Partida Genérica se refiere al tercer dígito, el cual logrará la armonización a todos los niveles de la administración pública municipal </w:t>
      </w:r>
      <w:r>
        <w:rPr>
          <w:rFonts w:ascii="Arial" w:hAnsi="Arial" w:cs="Arial"/>
          <w:sz w:val="21"/>
          <w:szCs w:val="21"/>
        </w:rPr>
        <w:t>y sus Entidades Paramunicipales;</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b) La Partida Específica corresponde al cuarto dígito, el cual permitirá que la Tesorería y las Dependencias con base en sus necesidades, generen su apertura, conservando la estructura básica del Presupuesto de Egresos que segrega en capítulos, conceptos y partidas genéricas, con el fin de mantener la armo</w:t>
      </w:r>
      <w:r>
        <w:rPr>
          <w:rFonts w:ascii="Arial" w:hAnsi="Arial" w:cs="Arial"/>
          <w:sz w:val="21"/>
          <w:szCs w:val="21"/>
        </w:rPr>
        <w:t>nización con el Plan de Cuentas;</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ARTÍCULO 13.-</w:t>
      </w:r>
      <w:r w:rsidRPr="00C441DA">
        <w:rPr>
          <w:rFonts w:ascii="Arial" w:hAnsi="Arial" w:cs="Arial"/>
          <w:sz w:val="21"/>
          <w:szCs w:val="21"/>
        </w:rPr>
        <w:t xml:space="preserve"> El Clasificador por Tipo de Gasto relaciona las transacciones públicas que generan gastos con los grandes agregados de la clasificación económica presentándolos en Corriente, de Capital, Amortización de la Deuda y Disminución de pasivos.</w:t>
      </w:r>
    </w:p>
    <w:p w:rsidR="000D7101" w:rsidRPr="00C441DA" w:rsidRDefault="000D7101" w:rsidP="000D7101">
      <w:pPr>
        <w:pStyle w:val="Ttulo3"/>
        <w:ind w:right="18"/>
        <w:jc w:val="both"/>
        <w:rPr>
          <w:rFonts w:cs="Arial"/>
          <w:b w:val="0"/>
          <w:sz w:val="21"/>
          <w:szCs w:val="21"/>
          <w:lang w:val="es-MX"/>
        </w:rPr>
      </w:pPr>
    </w:p>
    <w:p w:rsidR="000D7101" w:rsidRPr="00E27867" w:rsidRDefault="000D7101" w:rsidP="000D7101">
      <w:pPr>
        <w:ind w:right="18"/>
        <w:jc w:val="both"/>
        <w:rPr>
          <w:rFonts w:ascii="Arial" w:hAnsi="Arial" w:cs="Arial"/>
          <w:b/>
          <w:color w:val="A6A6A6"/>
          <w:sz w:val="21"/>
          <w:szCs w:val="21"/>
        </w:rPr>
      </w:pPr>
    </w:p>
    <w:p w:rsidR="000D7101" w:rsidRPr="00C441DA" w:rsidRDefault="000D7101" w:rsidP="000D7101">
      <w:pPr>
        <w:tabs>
          <w:tab w:val="left" w:pos="352"/>
        </w:tabs>
        <w:ind w:right="18"/>
        <w:jc w:val="both"/>
        <w:rPr>
          <w:rFonts w:ascii="Arial" w:eastAsia="Arial" w:hAnsi="Arial" w:cs="Arial"/>
          <w:b/>
          <w:sz w:val="21"/>
          <w:szCs w:val="21"/>
        </w:rPr>
      </w:pPr>
      <w:r w:rsidRPr="00C441DA">
        <w:rPr>
          <w:rFonts w:ascii="Arial" w:eastAsia="Arial" w:hAnsi="Arial" w:cs="Arial"/>
          <w:b/>
          <w:sz w:val="21"/>
          <w:szCs w:val="21"/>
        </w:rPr>
        <w:t xml:space="preserve">ARTÍCULO 14.- </w:t>
      </w:r>
      <w:r w:rsidRPr="00C441DA">
        <w:rPr>
          <w:rFonts w:ascii="Arial" w:eastAsia="Arial" w:hAnsi="Arial" w:cs="Arial"/>
          <w:sz w:val="21"/>
          <w:szCs w:val="21"/>
        </w:rPr>
        <w:t>El Ayuntamiento adopta la clasificación por objeto del gasto publicado por el Consejo de Nacional de Armonización Contable, siendo la siguiente:</w:t>
      </w:r>
    </w:p>
    <w:p w:rsidR="000D7101" w:rsidRPr="00C441DA" w:rsidRDefault="000D7101" w:rsidP="000D7101">
      <w:pPr>
        <w:ind w:right="18"/>
        <w:rPr>
          <w:rFonts w:ascii="Arial" w:hAnsi="Arial" w:cs="Arial"/>
          <w:sz w:val="21"/>
          <w:szCs w:val="21"/>
        </w:rPr>
      </w:pPr>
    </w:p>
    <w:p w:rsidR="000D7101" w:rsidRPr="00C441DA" w:rsidRDefault="000D7101" w:rsidP="000D7101">
      <w:pPr>
        <w:ind w:right="18"/>
        <w:rPr>
          <w:rFonts w:ascii="Arial" w:eastAsia="Arial" w:hAnsi="Arial" w:cs="Arial"/>
          <w:sz w:val="21"/>
          <w:szCs w:val="21"/>
        </w:rPr>
      </w:pPr>
      <w:r w:rsidRPr="00C441DA">
        <w:rPr>
          <w:rFonts w:ascii="Arial" w:eastAsia="Arial" w:hAnsi="Arial" w:cs="Arial"/>
          <w:sz w:val="21"/>
          <w:szCs w:val="21"/>
        </w:rPr>
        <w:t xml:space="preserve">Capítulo 1000 Servicios Personales </w:t>
      </w:r>
    </w:p>
    <w:p w:rsidR="000D7101" w:rsidRPr="00C441DA" w:rsidRDefault="000D7101" w:rsidP="000D7101">
      <w:pPr>
        <w:ind w:right="18"/>
        <w:rPr>
          <w:rFonts w:ascii="Arial" w:eastAsia="Arial" w:hAnsi="Arial" w:cs="Arial"/>
          <w:sz w:val="21"/>
          <w:szCs w:val="21"/>
        </w:rPr>
      </w:pPr>
      <w:r w:rsidRPr="00C441DA">
        <w:rPr>
          <w:rFonts w:ascii="Arial" w:eastAsia="Arial" w:hAnsi="Arial" w:cs="Arial"/>
          <w:sz w:val="21"/>
          <w:szCs w:val="21"/>
        </w:rPr>
        <w:t xml:space="preserve">Capítulo 2000 Materiales y Suministros </w:t>
      </w:r>
    </w:p>
    <w:p w:rsidR="000D7101" w:rsidRPr="00C441DA" w:rsidRDefault="000D7101" w:rsidP="000D7101">
      <w:pPr>
        <w:ind w:right="18"/>
        <w:rPr>
          <w:rFonts w:ascii="Arial" w:eastAsia="Arial" w:hAnsi="Arial" w:cs="Arial"/>
          <w:sz w:val="21"/>
          <w:szCs w:val="21"/>
        </w:rPr>
      </w:pPr>
      <w:r w:rsidRPr="00C441DA">
        <w:rPr>
          <w:rFonts w:ascii="Arial" w:eastAsia="Arial" w:hAnsi="Arial" w:cs="Arial"/>
          <w:sz w:val="21"/>
          <w:szCs w:val="21"/>
        </w:rPr>
        <w:t>Capítulo 3000 Servicios Generales</w:t>
      </w:r>
    </w:p>
    <w:p w:rsidR="000D7101" w:rsidRPr="00C441DA" w:rsidRDefault="000D7101" w:rsidP="000D7101">
      <w:pPr>
        <w:ind w:right="18"/>
        <w:rPr>
          <w:rFonts w:ascii="Arial" w:eastAsia="Arial" w:hAnsi="Arial" w:cs="Arial"/>
          <w:sz w:val="21"/>
          <w:szCs w:val="21"/>
        </w:rPr>
      </w:pPr>
      <w:r w:rsidRPr="00C441DA">
        <w:rPr>
          <w:rFonts w:ascii="Arial" w:eastAsia="Arial" w:hAnsi="Arial" w:cs="Arial"/>
          <w:sz w:val="21"/>
          <w:szCs w:val="21"/>
        </w:rPr>
        <w:t xml:space="preserve">Capítulo 4000 Transferencias, Asignaciones, Subsidios y Otras Ayudas </w:t>
      </w:r>
    </w:p>
    <w:p w:rsidR="000D7101" w:rsidRPr="00C441DA" w:rsidRDefault="000D7101" w:rsidP="000D7101">
      <w:pPr>
        <w:ind w:right="18"/>
        <w:rPr>
          <w:rFonts w:ascii="Arial" w:eastAsia="Arial" w:hAnsi="Arial" w:cs="Arial"/>
          <w:sz w:val="21"/>
          <w:szCs w:val="21"/>
        </w:rPr>
      </w:pPr>
      <w:r w:rsidRPr="00C441DA">
        <w:rPr>
          <w:rFonts w:ascii="Arial" w:eastAsia="Arial" w:hAnsi="Arial" w:cs="Arial"/>
          <w:sz w:val="21"/>
          <w:szCs w:val="21"/>
        </w:rPr>
        <w:t>Capítulo 5000 Bienes Muebles, Inmuebles e Intangibles</w:t>
      </w:r>
    </w:p>
    <w:p w:rsidR="000D7101" w:rsidRPr="00C441DA" w:rsidRDefault="000D7101" w:rsidP="000D7101">
      <w:pPr>
        <w:ind w:right="18"/>
        <w:rPr>
          <w:rFonts w:ascii="Arial" w:eastAsia="Arial" w:hAnsi="Arial" w:cs="Arial"/>
          <w:sz w:val="21"/>
          <w:szCs w:val="21"/>
        </w:rPr>
      </w:pPr>
      <w:r w:rsidRPr="00C441DA">
        <w:rPr>
          <w:rFonts w:ascii="Arial" w:eastAsia="Arial" w:hAnsi="Arial" w:cs="Arial"/>
          <w:sz w:val="21"/>
          <w:szCs w:val="21"/>
        </w:rPr>
        <w:t>Capítulo 6000 Inversión Pública</w:t>
      </w:r>
    </w:p>
    <w:p w:rsidR="000D7101" w:rsidRPr="00C441DA" w:rsidRDefault="000D7101" w:rsidP="000D7101">
      <w:pPr>
        <w:ind w:right="18"/>
        <w:rPr>
          <w:rFonts w:ascii="Arial" w:eastAsia="Arial" w:hAnsi="Arial" w:cs="Arial"/>
          <w:sz w:val="21"/>
          <w:szCs w:val="21"/>
        </w:rPr>
      </w:pPr>
      <w:r w:rsidRPr="00C441DA">
        <w:rPr>
          <w:rFonts w:ascii="Arial" w:eastAsia="Arial" w:hAnsi="Arial" w:cs="Arial"/>
          <w:sz w:val="21"/>
          <w:szCs w:val="21"/>
        </w:rPr>
        <w:t xml:space="preserve">Capítulo 7000 Inversiones Financieras y Otras Provisiones </w:t>
      </w:r>
    </w:p>
    <w:p w:rsidR="000D7101" w:rsidRPr="00C441DA" w:rsidRDefault="000D7101" w:rsidP="000D7101">
      <w:pPr>
        <w:ind w:right="18"/>
        <w:rPr>
          <w:rFonts w:ascii="Arial" w:eastAsia="Arial" w:hAnsi="Arial" w:cs="Arial"/>
          <w:sz w:val="21"/>
          <w:szCs w:val="21"/>
        </w:rPr>
      </w:pPr>
      <w:r w:rsidRPr="00C441DA">
        <w:rPr>
          <w:rFonts w:ascii="Arial" w:eastAsia="Arial" w:hAnsi="Arial" w:cs="Arial"/>
          <w:sz w:val="21"/>
          <w:szCs w:val="21"/>
        </w:rPr>
        <w:t>Capítulo 8000 Participaciones y Aportaciones</w:t>
      </w:r>
    </w:p>
    <w:p w:rsidR="000D7101" w:rsidRPr="00C441DA" w:rsidRDefault="000D7101" w:rsidP="000D7101">
      <w:pPr>
        <w:ind w:right="18"/>
        <w:rPr>
          <w:rFonts w:ascii="Arial" w:eastAsia="Arial" w:hAnsi="Arial" w:cs="Arial"/>
          <w:sz w:val="21"/>
          <w:szCs w:val="21"/>
        </w:rPr>
      </w:pPr>
      <w:r w:rsidRPr="00C441DA">
        <w:rPr>
          <w:rFonts w:ascii="Arial" w:eastAsia="Arial" w:hAnsi="Arial" w:cs="Arial"/>
          <w:sz w:val="21"/>
          <w:szCs w:val="21"/>
        </w:rPr>
        <w:t>Capítulo 9000 Deuda Pública</w:t>
      </w:r>
    </w:p>
    <w:p w:rsidR="000D7101" w:rsidRPr="00E27867" w:rsidRDefault="000D7101" w:rsidP="000D7101">
      <w:pPr>
        <w:ind w:right="18"/>
        <w:jc w:val="both"/>
        <w:rPr>
          <w:rFonts w:ascii="Arial" w:hAnsi="Arial" w:cs="Arial"/>
          <w:b/>
          <w:color w:val="A6A6A6"/>
          <w:sz w:val="21"/>
          <w:szCs w:val="21"/>
        </w:rPr>
      </w:pPr>
    </w:p>
    <w:p w:rsidR="000D7101" w:rsidRPr="00E27867" w:rsidRDefault="000D7101" w:rsidP="000D7101">
      <w:pPr>
        <w:ind w:right="18"/>
        <w:jc w:val="both"/>
        <w:rPr>
          <w:rFonts w:ascii="Arial" w:hAnsi="Arial" w:cs="Arial"/>
          <w:b/>
          <w:color w:val="A6A6A6"/>
          <w:sz w:val="21"/>
          <w:szCs w:val="21"/>
        </w:rPr>
      </w:pPr>
      <w:r w:rsidRPr="00C441DA">
        <w:rPr>
          <w:rFonts w:ascii="Arial" w:eastAsia="Arial" w:hAnsi="Arial" w:cs="Arial"/>
          <w:sz w:val="21"/>
          <w:szCs w:val="21"/>
        </w:rPr>
        <w:t>En caso de que el Consejo de Nacional de Armonización Contable actualice o modifique dicha clasificación, la Tesorería solicitará al Ayuntamiento su adopción y publicación en el Gaceta Municipal.</w:t>
      </w:r>
    </w:p>
    <w:p w:rsidR="000D7101" w:rsidRPr="00E27867" w:rsidRDefault="000D7101" w:rsidP="000D7101">
      <w:pPr>
        <w:ind w:right="18"/>
        <w:jc w:val="both"/>
        <w:rPr>
          <w:rFonts w:ascii="Arial" w:hAnsi="Arial" w:cs="Arial"/>
          <w:b/>
          <w:color w:val="A6A6A6"/>
          <w:sz w:val="21"/>
          <w:szCs w:val="21"/>
        </w:rPr>
      </w:pPr>
    </w:p>
    <w:p w:rsidR="000D7101" w:rsidRPr="00E27867" w:rsidRDefault="000D7101" w:rsidP="000D7101">
      <w:pPr>
        <w:ind w:right="18"/>
        <w:jc w:val="both"/>
        <w:rPr>
          <w:rFonts w:ascii="Arial" w:hAnsi="Arial" w:cs="Arial"/>
          <w:b/>
          <w:color w:val="A6A6A6"/>
          <w:sz w:val="21"/>
          <w:szCs w:val="21"/>
        </w:rPr>
      </w:pPr>
    </w:p>
    <w:p w:rsidR="000D7101" w:rsidRPr="00E27867" w:rsidRDefault="000D7101" w:rsidP="000D7101">
      <w:pPr>
        <w:ind w:right="18"/>
        <w:jc w:val="both"/>
        <w:rPr>
          <w:rFonts w:ascii="Arial" w:hAnsi="Arial" w:cs="Arial"/>
          <w:b/>
          <w:color w:val="A6A6A6"/>
          <w:sz w:val="21"/>
          <w:szCs w:val="21"/>
        </w:rPr>
      </w:pPr>
      <w:r w:rsidRPr="00C441DA">
        <w:rPr>
          <w:rFonts w:ascii="Arial" w:hAnsi="Arial" w:cs="Arial"/>
          <w:b/>
          <w:sz w:val="21"/>
          <w:szCs w:val="21"/>
        </w:rPr>
        <w:t>ARTÍCULO 15.-</w:t>
      </w:r>
      <w:r w:rsidRPr="00C441DA">
        <w:rPr>
          <w:rFonts w:ascii="Arial" w:hAnsi="Arial" w:cs="Arial"/>
          <w:sz w:val="21"/>
          <w:szCs w:val="21"/>
        </w:rPr>
        <w:t xml:space="preserve"> La Tesorería difundirá y capacitará en la aplicación de la normatividad del </w:t>
      </w:r>
      <w:r w:rsidRPr="00C441DA">
        <w:rPr>
          <w:rFonts w:ascii="Arial" w:eastAsia="Arial" w:hAnsi="Arial" w:cs="Arial"/>
          <w:sz w:val="21"/>
          <w:szCs w:val="21"/>
        </w:rPr>
        <w:t>Consejo de Nacional de Armonización Contable que adopte el Ayuntamiento.</w:t>
      </w:r>
    </w:p>
    <w:p w:rsidR="000D7101" w:rsidRPr="00E27867" w:rsidRDefault="000D7101" w:rsidP="000D7101">
      <w:pPr>
        <w:ind w:right="18"/>
        <w:jc w:val="both"/>
        <w:rPr>
          <w:rFonts w:ascii="Arial" w:hAnsi="Arial" w:cs="Arial"/>
          <w:b/>
          <w:color w:val="A6A6A6"/>
          <w:sz w:val="21"/>
          <w:szCs w:val="21"/>
        </w:rPr>
      </w:pPr>
    </w:p>
    <w:p w:rsidR="000D7101" w:rsidRPr="00E27867" w:rsidRDefault="000D7101" w:rsidP="000D7101">
      <w:pPr>
        <w:ind w:right="18"/>
        <w:jc w:val="both"/>
        <w:rPr>
          <w:rFonts w:ascii="Arial" w:hAnsi="Arial" w:cs="Arial"/>
          <w:b/>
          <w:color w:val="A6A6A6"/>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ARTÍCULO 16.-</w:t>
      </w:r>
      <w:r w:rsidRPr="00C441DA">
        <w:rPr>
          <w:rFonts w:ascii="Arial" w:hAnsi="Arial" w:cs="Arial"/>
          <w:sz w:val="21"/>
          <w:szCs w:val="21"/>
        </w:rPr>
        <w:t xml:space="preserve"> Las Dependencias, Unidades Ejecutoras del Gasto y Entidades Paramunicipales deberán utilizar el Clasificador por Objeto del Gasto, a fin de realizar una adecuada aplicación presupuestal, reflejando una administración presupuestaria más sencilla, mediante la identificación, combinación y cuantificación de los insumos, recursos humanos, </w:t>
      </w:r>
      <w:r w:rsidRPr="00C441DA">
        <w:rPr>
          <w:rFonts w:ascii="Arial" w:hAnsi="Arial" w:cs="Arial"/>
          <w:sz w:val="21"/>
          <w:szCs w:val="21"/>
        </w:rPr>
        <w:lastRenderedPageBreak/>
        <w:t xml:space="preserve">materiales y financieros, al nivel de los capítulos, conceptos y partidas, necesarios para el proceso general de </w:t>
      </w:r>
      <w:proofErr w:type="spellStart"/>
      <w:r w:rsidRPr="00C441DA">
        <w:rPr>
          <w:rFonts w:ascii="Arial" w:hAnsi="Arial" w:cs="Arial"/>
          <w:sz w:val="21"/>
          <w:szCs w:val="21"/>
        </w:rPr>
        <w:t>presupuestación</w:t>
      </w:r>
      <w:proofErr w:type="spellEnd"/>
      <w:r w:rsidRPr="00C441DA">
        <w:rPr>
          <w:rFonts w:ascii="Arial" w:hAnsi="Arial" w:cs="Arial"/>
          <w:sz w:val="21"/>
          <w:szCs w:val="21"/>
        </w:rPr>
        <w:t>.</w:t>
      </w:r>
    </w:p>
    <w:p w:rsidR="000D7101" w:rsidRPr="00E27867" w:rsidRDefault="000D7101" w:rsidP="000D7101">
      <w:pPr>
        <w:ind w:right="18"/>
        <w:jc w:val="both"/>
        <w:rPr>
          <w:rFonts w:ascii="Arial" w:hAnsi="Arial" w:cs="Arial"/>
          <w:b/>
          <w:color w:val="A6A6A6"/>
          <w:sz w:val="21"/>
          <w:szCs w:val="21"/>
        </w:rPr>
      </w:pPr>
    </w:p>
    <w:p w:rsidR="000D7101" w:rsidRPr="00E27867" w:rsidRDefault="000D7101" w:rsidP="000D7101">
      <w:pPr>
        <w:ind w:right="18"/>
        <w:jc w:val="both"/>
        <w:rPr>
          <w:rFonts w:ascii="Arial" w:hAnsi="Arial" w:cs="Arial"/>
          <w:b/>
          <w:color w:val="A6A6A6"/>
          <w:sz w:val="21"/>
          <w:szCs w:val="21"/>
        </w:rPr>
      </w:pPr>
    </w:p>
    <w:p w:rsidR="000D7101" w:rsidRPr="00C441DA" w:rsidRDefault="000D7101" w:rsidP="000D7101">
      <w:pPr>
        <w:pStyle w:val="Ttulo3"/>
        <w:ind w:right="18"/>
        <w:rPr>
          <w:rFonts w:cs="Arial"/>
          <w:sz w:val="21"/>
          <w:szCs w:val="21"/>
        </w:rPr>
      </w:pPr>
      <w:r w:rsidRPr="00C441DA">
        <w:rPr>
          <w:rFonts w:cs="Arial"/>
          <w:sz w:val="21"/>
          <w:szCs w:val="21"/>
          <w:lang w:val="es-MX"/>
        </w:rPr>
        <w:t>CAPÍTULO III</w:t>
      </w:r>
    </w:p>
    <w:p w:rsidR="000D7101" w:rsidRPr="00E27867" w:rsidRDefault="000D7101" w:rsidP="000D7101">
      <w:pPr>
        <w:pStyle w:val="Prrafodelista"/>
        <w:ind w:left="0" w:right="18"/>
        <w:jc w:val="center"/>
        <w:rPr>
          <w:rFonts w:ascii="Arial" w:hAnsi="Arial" w:cs="Arial"/>
          <w:b/>
          <w:color w:val="000000"/>
          <w:sz w:val="21"/>
          <w:szCs w:val="21"/>
        </w:rPr>
      </w:pPr>
      <w:r w:rsidRPr="00E27867">
        <w:rPr>
          <w:rFonts w:ascii="Arial" w:hAnsi="Arial" w:cs="Arial"/>
          <w:b/>
          <w:color w:val="000000"/>
          <w:sz w:val="21"/>
          <w:szCs w:val="21"/>
        </w:rPr>
        <w:t>ADECUACIONES PRESUPUESTALES</w:t>
      </w:r>
    </w:p>
    <w:p w:rsidR="000D7101" w:rsidRPr="00E27867" w:rsidRDefault="000D7101" w:rsidP="000D7101">
      <w:pPr>
        <w:pStyle w:val="Prrafodelista"/>
        <w:ind w:left="0" w:right="18"/>
        <w:jc w:val="center"/>
        <w:rPr>
          <w:rFonts w:ascii="Arial" w:hAnsi="Arial" w:cs="Arial"/>
          <w:b/>
          <w:color w:val="000000"/>
          <w:sz w:val="21"/>
          <w:szCs w:val="21"/>
        </w:rPr>
      </w:pPr>
    </w:p>
    <w:p w:rsidR="000D7101" w:rsidRPr="00E27867" w:rsidRDefault="000D7101" w:rsidP="000D7101">
      <w:pPr>
        <w:pStyle w:val="Prrafodelista"/>
        <w:ind w:left="0" w:right="18"/>
        <w:jc w:val="center"/>
        <w:rPr>
          <w:rFonts w:ascii="Arial" w:hAnsi="Arial" w:cs="Arial"/>
          <w:b/>
          <w:color w:val="000000"/>
          <w:sz w:val="21"/>
          <w:szCs w:val="21"/>
        </w:rPr>
      </w:pPr>
    </w:p>
    <w:p w:rsidR="000D7101" w:rsidRPr="00C441DA" w:rsidRDefault="000D7101" w:rsidP="000D7101">
      <w:pPr>
        <w:pStyle w:val="Prrafodelista"/>
        <w:ind w:left="0" w:right="18"/>
        <w:jc w:val="both"/>
        <w:rPr>
          <w:rFonts w:ascii="Arial" w:hAnsi="Arial" w:cs="Arial"/>
          <w:color w:val="FF0000"/>
          <w:sz w:val="21"/>
          <w:szCs w:val="21"/>
        </w:rPr>
      </w:pPr>
      <w:r w:rsidRPr="00C441DA">
        <w:rPr>
          <w:rFonts w:ascii="Arial" w:hAnsi="Arial" w:cs="Arial"/>
          <w:b/>
          <w:sz w:val="21"/>
          <w:szCs w:val="21"/>
        </w:rPr>
        <w:t>ARTÍCULO 17.-</w:t>
      </w:r>
      <w:r w:rsidRPr="00C441DA">
        <w:rPr>
          <w:rFonts w:ascii="Arial" w:hAnsi="Arial" w:cs="Arial"/>
          <w:sz w:val="21"/>
          <w:szCs w:val="21"/>
        </w:rPr>
        <w:t xml:space="preserve"> Derivado de las necesidades justificadas en la ejecución de los Programas y los Procesos o Proyectos del Presupuesto de Egresos, así como para la ejecución de los servicios públicos municipales, se podrán realizar adecuaciones presupuestales o las modificaciones que se realizan durante el ejercicio fiscal a la estructura programática y económica del mismo, siendo estas las siguientes: </w:t>
      </w:r>
    </w:p>
    <w:p w:rsidR="000D7101" w:rsidRPr="00E27867" w:rsidRDefault="000D7101" w:rsidP="000D7101">
      <w:pPr>
        <w:pStyle w:val="Prrafodelista"/>
        <w:ind w:left="0" w:right="18"/>
        <w:jc w:val="both"/>
        <w:rPr>
          <w:rFonts w:ascii="Arial" w:hAnsi="Arial" w:cs="Arial"/>
          <w:color w:val="000000"/>
          <w:sz w:val="21"/>
          <w:szCs w:val="21"/>
        </w:rPr>
      </w:pPr>
    </w:p>
    <w:p w:rsidR="000D7101" w:rsidRDefault="000D7101" w:rsidP="000D7101">
      <w:pPr>
        <w:pStyle w:val="Prrafodelista"/>
        <w:ind w:left="0" w:right="18"/>
        <w:jc w:val="both"/>
        <w:rPr>
          <w:rFonts w:ascii="Arial" w:hAnsi="Arial" w:cs="Arial"/>
          <w:color w:val="000000"/>
          <w:sz w:val="21"/>
          <w:szCs w:val="21"/>
        </w:rPr>
      </w:pPr>
      <w:r w:rsidRPr="00E27867">
        <w:rPr>
          <w:rFonts w:ascii="Arial" w:hAnsi="Arial" w:cs="Arial"/>
          <w:color w:val="000000"/>
          <w:sz w:val="21"/>
          <w:szCs w:val="21"/>
        </w:rPr>
        <w:t>I. Adecuaciones a la Estructura Programática:</w:t>
      </w:r>
    </w:p>
    <w:p w:rsidR="000D7101" w:rsidRPr="00E27867" w:rsidRDefault="000D7101" w:rsidP="000D7101">
      <w:pPr>
        <w:pStyle w:val="Prrafodelista"/>
        <w:ind w:left="0" w:right="18"/>
        <w:jc w:val="both"/>
        <w:rPr>
          <w:rFonts w:ascii="Arial" w:hAnsi="Arial" w:cs="Arial"/>
          <w:color w:val="000000"/>
          <w:sz w:val="21"/>
          <w:szCs w:val="21"/>
        </w:rPr>
      </w:pPr>
    </w:p>
    <w:p w:rsidR="000D7101" w:rsidRPr="00E27867" w:rsidRDefault="000D7101" w:rsidP="000D7101">
      <w:pPr>
        <w:pStyle w:val="Prrafodelista"/>
        <w:ind w:left="0" w:right="18"/>
        <w:jc w:val="both"/>
        <w:rPr>
          <w:rFonts w:ascii="Arial" w:hAnsi="Arial" w:cs="Arial"/>
          <w:color w:val="000000"/>
          <w:sz w:val="21"/>
          <w:szCs w:val="21"/>
        </w:rPr>
      </w:pPr>
      <w:r w:rsidRPr="00E27867">
        <w:rPr>
          <w:rFonts w:ascii="Arial" w:hAnsi="Arial" w:cs="Arial"/>
          <w:color w:val="000000"/>
          <w:sz w:val="21"/>
          <w:szCs w:val="21"/>
        </w:rPr>
        <w:t>a) De un Programa a otro Programa; y</w:t>
      </w:r>
    </w:p>
    <w:p w:rsidR="000D7101" w:rsidRPr="00E27867" w:rsidRDefault="000D7101" w:rsidP="000D7101">
      <w:pPr>
        <w:pStyle w:val="Prrafodelista"/>
        <w:ind w:left="0" w:right="18"/>
        <w:jc w:val="both"/>
        <w:rPr>
          <w:rFonts w:ascii="Arial" w:hAnsi="Arial" w:cs="Arial"/>
          <w:color w:val="000000"/>
          <w:sz w:val="21"/>
          <w:szCs w:val="21"/>
        </w:rPr>
      </w:pPr>
      <w:r w:rsidRPr="00E27867">
        <w:rPr>
          <w:rFonts w:ascii="Arial" w:hAnsi="Arial" w:cs="Arial"/>
          <w:color w:val="000000"/>
          <w:sz w:val="21"/>
          <w:szCs w:val="21"/>
        </w:rPr>
        <w:t>b) De un Proceso o Proyecto a otro Proceso o Proyecto.</w:t>
      </w:r>
    </w:p>
    <w:p w:rsidR="000D7101" w:rsidRPr="00E27867" w:rsidRDefault="000D7101" w:rsidP="000D7101">
      <w:pPr>
        <w:pStyle w:val="Prrafodelista"/>
        <w:ind w:left="0" w:right="18"/>
        <w:jc w:val="both"/>
        <w:rPr>
          <w:rFonts w:ascii="Arial" w:hAnsi="Arial" w:cs="Arial"/>
          <w:color w:val="000000"/>
          <w:sz w:val="21"/>
          <w:szCs w:val="21"/>
        </w:rPr>
      </w:pPr>
    </w:p>
    <w:p w:rsidR="000D7101" w:rsidRDefault="000D7101" w:rsidP="000D7101">
      <w:pPr>
        <w:pStyle w:val="Prrafodelista"/>
        <w:ind w:left="0" w:right="18"/>
        <w:jc w:val="both"/>
        <w:rPr>
          <w:rFonts w:ascii="Arial" w:hAnsi="Arial" w:cs="Arial"/>
          <w:color w:val="000000"/>
          <w:sz w:val="21"/>
          <w:szCs w:val="21"/>
        </w:rPr>
      </w:pPr>
      <w:r w:rsidRPr="00E27867">
        <w:rPr>
          <w:rFonts w:ascii="Arial" w:hAnsi="Arial" w:cs="Arial"/>
          <w:color w:val="000000"/>
          <w:sz w:val="21"/>
          <w:szCs w:val="21"/>
        </w:rPr>
        <w:t>II. Adecuaciones a la Estructura Económica:</w:t>
      </w:r>
    </w:p>
    <w:p w:rsidR="000D7101" w:rsidRPr="00E27867" w:rsidRDefault="000D7101" w:rsidP="000D7101">
      <w:pPr>
        <w:pStyle w:val="Prrafodelista"/>
        <w:ind w:left="0" w:right="18"/>
        <w:jc w:val="both"/>
        <w:rPr>
          <w:rFonts w:ascii="Arial" w:hAnsi="Arial" w:cs="Arial"/>
          <w:color w:val="000000"/>
          <w:sz w:val="21"/>
          <w:szCs w:val="21"/>
        </w:rPr>
      </w:pPr>
    </w:p>
    <w:p w:rsidR="000D7101" w:rsidRPr="00E27867" w:rsidRDefault="000D7101" w:rsidP="000D7101">
      <w:pPr>
        <w:pStyle w:val="Prrafodelista"/>
        <w:ind w:left="0" w:right="18"/>
        <w:jc w:val="both"/>
        <w:rPr>
          <w:rFonts w:ascii="Arial" w:hAnsi="Arial" w:cs="Arial"/>
          <w:color w:val="000000"/>
          <w:sz w:val="21"/>
          <w:szCs w:val="21"/>
        </w:rPr>
      </w:pPr>
      <w:r w:rsidRPr="00E27867">
        <w:rPr>
          <w:rFonts w:ascii="Arial" w:hAnsi="Arial" w:cs="Arial"/>
          <w:color w:val="000000"/>
          <w:sz w:val="21"/>
          <w:szCs w:val="21"/>
        </w:rPr>
        <w:t>a) De Gasto Corriente a Gasto de Capital y Obra Pública;</w:t>
      </w:r>
    </w:p>
    <w:p w:rsidR="000D7101" w:rsidRPr="00E27867" w:rsidRDefault="000D7101" w:rsidP="000D7101">
      <w:pPr>
        <w:pStyle w:val="Prrafodelista"/>
        <w:ind w:left="0" w:right="18"/>
        <w:jc w:val="both"/>
        <w:rPr>
          <w:rFonts w:ascii="Arial" w:hAnsi="Arial" w:cs="Arial"/>
          <w:color w:val="000000"/>
          <w:sz w:val="21"/>
          <w:szCs w:val="21"/>
        </w:rPr>
      </w:pPr>
      <w:r w:rsidRPr="00E27867">
        <w:rPr>
          <w:rFonts w:ascii="Arial" w:hAnsi="Arial" w:cs="Arial"/>
          <w:color w:val="000000"/>
          <w:sz w:val="21"/>
          <w:szCs w:val="21"/>
        </w:rPr>
        <w:t>b) De Gasto de Capital y Obra Pública  a Gasto Corriente;</w:t>
      </w:r>
    </w:p>
    <w:p w:rsidR="000D7101" w:rsidRPr="00E27867" w:rsidRDefault="000D7101" w:rsidP="000D7101">
      <w:pPr>
        <w:pStyle w:val="Prrafodelista"/>
        <w:ind w:left="0" w:right="18"/>
        <w:jc w:val="both"/>
        <w:rPr>
          <w:rFonts w:ascii="Arial" w:hAnsi="Arial" w:cs="Arial"/>
          <w:color w:val="000000"/>
          <w:sz w:val="21"/>
          <w:szCs w:val="21"/>
        </w:rPr>
      </w:pPr>
      <w:r w:rsidRPr="00E27867">
        <w:rPr>
          <w:rFonts w:ascii="Arial" w:hAnsi="Arial" w:cs="Arial"/>
          <w:color w:val="000000"/>
          <w:sz w:val="21"/>
          <w:szCs w:val="21"/>
        </w:rPr>
        <w:t>c) De Capítulo 1000 Servicios Personales a otros Capítulos; y</w:t>
      </w:r>
    </w:p>
    <w:p w:rsidR="000D7101" w:rsidRPr="00E27867" w:rsidRDefault="000D7101" w:rsidP="000D7101">
      <w:pPr>
        <w:pStyle w:val="Prrafodelista"/>
        <w:ind w:left="0" w:right="18"/>
        <w:jc w:val="both"/>
        <w:rPr>
          <w:rFonts w:ascii="Arial" w:hAnsi="Arial" w:cs="Arial"/>
          <w:color w:val="000000"/>
          <w:sz w:val="21"/>
          <w:szCs w:val="21"/>
        </w:rPr>
      </w:pPr>
      <w:r w:rsidRPr="00E27867">
        <w:rPr>
          <w:rFonts w:ascii="Arial" w:hAnsi="Arial" w:cs="Arial"/>
          <w:color w:val="000000"/>
          <w:sz w:val="21"/>
          <w:szCs w:val="21"/>
        </w:rPr>
        <w:t>d) Entre los conceptos de Gasto del Capítulo 1000 Servicios Personales, que impliquen cambios por la conversión de Plazas.</w:t>
      </w:r>
    </w:p>
    <w:p w:rsidR="000D7101" w:rsidRPr="00E27867" w:rsidRDefault="000D7101" w:rsidP="000D7101">
      <w:pPr>
        <w:pStyle w:val="Prrafodelista"/>
        <w:ind w:left="0" w:right="18"/>
        <w:jc w:val="both"/>
        <w:rPr>
          <w:rFonts w:ascii="Arial" w:hAnsi="Arial" w:cs="Arial"/>
          <w:color w:val="000000"/>
          <w:sz w:val="21"/>
          <w:szCs w:val="21"/>
        </w:rPr>
      </w:pPr>
    </w:p>
    <w:p w:rsidR="000D7101" w:rsidRPr="00E27867" w:rsidRDefault="000D7101" w:rsidP="000D7101">
      <w:pPr>
        <w:pStyle w:val="Prrafodelista"/>
        <w:ind w:left="0" w:right="18"/>
        <w:jc w:val="both"/>
        <w:rPr>
          <w:rFonts w:ascii="Arial" w:hAnsi="Arial" w:cs="Arial"/>
          <w:color w:val="000000"/>
          <w:sz w:val="21"/>
          <w:szCs w:val="21"/>
        </w:rPr>
      </w:pPr>
    </w:p>
    <w:p w:rsidR="000D7101" w:rsidRPr="00C441DA" w:rsidRDefault="000D7101" w:rsidP="000D7101">
      <w:pPr>
        <w:pStyle w:val="Prrafodelista"/>
        <w:ind w:left="0" w:right="18"/>
        <w:jc w:val="both"/>
        <w:rPr>
          <w:rFonts w:ascii="Arial" w:hAnsi="Arial" w:cs="Arial"/>
          <w:sz w:val="21"/>
          <w:szCs w:val="21"/>
        </w:rPr>
      </w:pPr>
      <w:r w:rsidRPr="00E27867">
        <w:rPr>
          <w:rFonts w:ascii="Arial" w:hAnsi="Arial" w:cs="Arial"/>
          <w:b/>
          <w:color w:val="000000"/>
          <w:sz w:val="21"/>
          <w:szCs w:val="21"/>
        </w:rPr>
        <w:t>ARTÍCULO 18.-</w:t>
      </w:r>
      <w:r w:rsidRPr="00E27867">
        <w:rPr>
          <w:rFonts w:ascii="Arial" w:hAnsi="Arial" w:cs="Arial"/>
          <w:color w:val="000000"/>
          <w:sz w:val="21"/>
          <w:szCs w:val="21"/>
        </w:rPr>
        <w:t xml:space="preserve"> De acuerdo con las limitaciones establecidas en la legislación en materia de disciplina financiera, la adecuaciones presupuestales en el capítulo 1000 sólo podrán ser solicitadas por la Dirección de Recursos Humanos en coordinación con la Tesorería, previa justificación que obedezca los </w:t>
      </w:r>
      <w:r w:rsidRPr="00C441DA">
        <w:rPr>
          <w:rFonts w:ascii="Arial" w:hAnsi="Arial" w:cs="Arial"/>
          <w:sz w:val="21"/>
          <w:szCs w:val="21"/>
        </w:rPr>
        <w:t>Programas y los Procesos o Proyectos del Presupuesto de Egresos, así como para la ejecución de los servicios públicos municipales, o bien, con motivo de la entrada en vigor de leyes o normas que impongan nuevas o mayores cargas al Municipio y sus Entidades Paramunicipales.</w:t>
      </w:r>
    </w:p>
    <w:p w:rsidR="000D7101" w:rsidRPr="00E27867" w:rsidRDefault="000D7101" w:rsidP="000D7101">
      <w:pPr>
        <w:pStyle w:val="Prrafodelista"/>
        <w:ind w:left="0" w:right="18"/>
        <w:jc w:val="both"/>
        <w:rPr>
          <w:rFonts w:ascii="Arial" w:hAnsi="Arial" w:cs="Arial"/>
          <w:color w:val="000000"/>
          <w:sz w:val="21"/>
          <w:szCs w:val="21"/>
        </w:rPr>
      </w:pPr>
    </w:p>
    <w:p w:rsidR="000D7101" w:rsidRPr="00E27867" w:rsidRDefault="000D7101" w:rsidP="000D7101">
      <w:pPr>
        <w:pStyle w:val="Prrafodelista"/>
        <w:ind w:left="0" w:right="18"/>
        <w:jc w:val="both"/>
        <w:rPr>
          <w:rFonts w:ascii="Arial" w:hAnsi="Arial" w:cs="Arial"/>
          <w:color w:val="000000"/>
          <w:sz w:val="21"/>
          <w:szCs w:val="21"/>
        </w:rPr>
      </w:pPr>
    </w:p>
    <w:p w:rsidR="000D7101" w:rsidRPr="00E27867" w:rsidRDefault="000D7101" w:rsidP="000D7101">
      <w:pPr>
        <w:pStyle w:val="Prrafodelista"/>
        <w:ind w:left="0" w:right="18"/>
        <w:jc w:val="both"/>
        <w:rPr>
          <w:rFonts w:ascii="Arial" w:hAnsi="Arial" w:cs="Arial"/>
          <w:color w:val="000000"/>
          <w:sz w:val="21"/>
          <w:szCs w:val="21"/>
        </w:rPr>
      </w:pPr>
      <w:r w:rsidRPr="00E27867">
        <w:rPr>
          <w:rFonts w:ascii="Arial" w:hAnsi="Arial" w:cs="Arial"/>
          <w:b/>
          <w:color w:val="000000"/>
          <w:sz w:val="21"/>
          <w:szCs w:val="21"/>
        </w:rPr>
        <w:t>ARTÍCULO 19.-</w:t>
      </w:r>
      <w:r w:rsidRPr="00E27867">
        <w:rPr>
          <w:rFonts w:ascii="Arial" w:hAnsi="Arial" w:cs="Arial"/>
          <w:color w:val="000000"/>
          <w:sz w:val="21"/>
          <w:szCs w:val="21"/>
        </w:rPr>
        <w:t xml:space="preserve"> La solicitud de las ampliación y transferencias presupuestales entre capítulos, se ajustará a los calendarios establecidos por la Tesorería; se podrán elaborar y remitir las peticiones de adecuación, a fin de incorporar las solicitudes para su autorización por el Ayuntamiento, las cuales quedarán asentadas en los formatos que para ese efecto determine la Tesorería, así como las solicitudes de adecuaciones que de forma extraordinaria se requieran realizar en meses distintos al calendario autorizado. </w:t>
      </w:r>
    </w:p>
    <w:p w:rsidR="000D7101" w:rsidRPr="00E27867" w:rsidRDefault="000D7101" w:rsidP="000D7101">
      <w:pPr>
        <w:pStyle w:val="Prrafodelista"/>
        <w:ind w:left="0" w:right="18"/>
        <w:jc w:val="both"/>
        <w:rPr>
          <w:rFonts w:ascii="Arial" w:hAnsi="Arial" w:cs="Arial"/>
          <w:color w:val="000000"/>
          <w:sz w:val="21"/>
          <w:szCs w:val="21"/>
        </w:rPr>
      </w:pPr>
    </w:p>
    <w:p w:rsidR="000D7101" w:rsidRPr="00E27867" w:rsidRDefault="000D7101" w:rsidP="000D7101">
      <w:pPr>
        <w:pStyle w:val="Prrafodelista"/>
        <w:ind w:left="0" w:right="18"/>
        <w:jc w:val="both"/>
        <w:rPr>
          <w:rFonts w:ascii="Arial" w:hAnsi="Arial" w:cs="Arial"/>
          <w:color w:val="000000"/>
          <w:sz w:val="21"/>
          <w:szCs w:val="21"/>
        </w:rPr>
      </w:pPr>
    </w:p>
    <w:p w:rsidR="000D7101" w:rsidRPr="00C441DA" w:rsidRDefault="000D7101" w:rsidP="000D7101">
      <w:pPr>
        <w:pStyle w:val="Prrafodelista"/>
        <w:ind w:left="0" w:right="18"/>
        <w:jc w:val="both"/>
        <w:rPr>
          <w:rFonts w:ascii="Arial" w:hAnsi="Arial" w:cs="Arial"/>
          <w:sz w:val="21"/>
          <w:szCs w:val="21"/>
        </w:rPr>
      </w:pPr>
      <w:r w:rsidRPr="00E27867">
        <w:rPr>
          <w:rFonts w:ascii="Arial" w:hAnsi="Arial" w:cs="Arial"/>
          <w:b/>
          <w:color w:val="000000"/>
          <w:sz w:val="21"/>
          <w:szCs w:val="21"/>
        </w:rPr>
        <w:t>ARTÍCULO 20.-</w:t>
      </w:r>
      <w:r w:rsidRPr="00E27867">
        <w:rPr>
          <w:rFonts w:ascii="Arial" w:hAnsi="Arial" w:cs="Arial"/>
          <w:color w:val="000000"/>
          <w:sz w:val="21"/>
          <w:szCs w:val="21"/>
        </w:rPr>
        <w:t xml:space="preserve"> Para transferencias entre partidas del mismo capítulo y misma Dependencia, podrán solicitarse en cualquier </w:t>
      </w:r>
      <w:r w:rsidRPr="00C441DA">
        <w:rPr>
          <w:rFonts w:ascii="Arial" w:hAnsi="Arial" w:cs="Arial"/>
          <w:sz w:val="21"/>
          <w:szCs w:val="21"/>
        </w:rPr>
        <w:t xml:space="preserve">momento </w:t>
      </w:r>
      <w:r w:rsidRPr="00E27867">
        <w:rPr>
          <w:rFonts w:ascii="Arial" w:hAnsi="Arial" w:cs="Arial"/>
          <w:color w:val="000000"/>
          <w:sz w:val="21"/>
          <w:szCs w:val="21"/>
        </w:rPr>
        <w:t xml:space="preserve">de ejercicio fiscal, apegándose a la normatividad señalada en el presente Reglamento, que sirvan para </w:t>
      </w:r>
      <w:proofErr w:type="spellStart"/>
      <w:r w:rsidRPr="00E27867">
        <w:rPr>
          <w:rFonts w:ascii="Arial" w:hAnsi="Arial" w:cs="Arial"/>
          <w:color w:val="000000"/>
          <w:sz w:val="21"/>
          <w:szCs w:val="21"/>
        </w:rPr>
        <w:t>eficientar</w:t>
      </w:r>
      <w:proofErr w:type="spellEnd"/>
      <w:r w:rsidRPr="00E27867">
        <w:rPr>
          <w:rFonts w:ascii="Arial" w:hAnsi="Arial" w:cs="Arial"/>
          <w:color w:val="000000"/>
          <w:sz w:val="21"/>
          <w:szCs w:val="21"/>
        </w:rPr>
        <w:t xml:space="preserve"> la ejecución de los </w:t>
      </w:r>
      <w:r w:rsidRPr="00C441DA">
        <w:rPr>
          <w:rFonts w:ascii="Arial" w:hAnsi="Arial" w:cs="Arial"/>
          <w:sz w:val="21"/>
          <w:szCs w:val="21"/>
        </w:rPr>
        <w:t>Programas y los Procesos o Proyectos, así como para la ejecución de los servicios públicos municipales.</w:t>
      </w:r>
    </w:p>
    <w:p w:rsidR="000D7101" w:rsidRPr="00C441DA" w:rsidRDefault="000D7101" w:rsidP="000D7101">
      <w:pPr>
        <w:pStyle w:val="Prrafodelista"/>
        <w:ind w:left="0" w:right="18"/>
        <w:jc w:val="both"/>
        <w:rPr>
          <w:rFonts w:ascii="Arial" w:hAnsi="Arial" w:cs="Arial"/>
          <w:sz w:val="21"/>
          <w:szCs w:val="21"/>
        </w:rPr>
      </w:pPr>
    </w:p>
    <w:p w:rsidR="000D7101" w:rsidRPr="00E27867" w:rsidRDefault="000D7101" w:rsidP="000D7101">
      <w:pPr>
        <w:pStyle w:val="Prrafodelista"/>
        <w:ind w:left="0" w:right="18"/>
        <w:jc w:val="both"/>
        <w:rPr>
          <w:rFonts w:ascii="Arial" w:hAnsi="Arial" w:cs="Arial"/>
          <w:color w:val="000000"/>
          <w:sz w:val="21"/>
          <w:szCs w:val="21"/>
        </w:rPr>
      </w:pPr>
      <w:r w:rsidRPr="00C441DA">
        <w:rPr>
          <w:rFonts w:ascii="Arial" w:hAnsi="Arial" w:cs="Arial"/>
          <w:sz w:val="21"/>
          <w:szCs w:val="21"/>
        </w:rPr>
        <w:lastRenderedPageBreak/>
        <w:t>Cuando las Unidades Ejecutoras del Gasto requieran transferencias</w:t>
      </w:r>
      <w:r w:rsidRPr="00E27867">
        <w:rPr>
          <w:rFonts w:ascii="Arial" w:hAnsi="Arial" w:cs="Arial"/>
          <w:color w:val="000000"/>
          <w:sz w:val="21"/>
          <w:szCs w:val="21"/>
        </w:rPr>
        <w:t xml:space="preserve"> entre partidas del mismo capítulo, lo solicitarán a través de su Dependencia.</w:t>
      </w:r>
    </w:p>
    <w:p w:rsidR="000D7101" w:rsidRPr="00E27867" w:rsidRDefault="000D7101" w:rsidP="000D7101">
      <w:pPr>
        <w:pStyle w:val="Prrafodelista"/>
        <w:ind w:left="0" w:right="18"/>
        <w:jc w:val="both"/>
        <w:rPr>
          <w:rFonts w:ascii="Arial" w:hAnsi="Arial" w:cs="Arial"/>
          <w:color w:val="000000"/>
          <w:sz w:val="21"/>
          <w:szCs w:val="21"/>
        </w:rPr>
      </w:pPr>
    </w:p>
    <w:p w:rsidR="000D7101" w:rsidRPr="00E27867" w:rsidRDefault="000D7101" w:rsidP="000D7101">
      <w:pPr>
        <w:pStyle w:val="Prrafodelista"/>
        <w:ind w:left="0" w:right="18"/>
        <w:jc w:val="both"/>
        <w:rPr>
          <w:rFonts w:ascii="Arial" w:hAnsi="Arial" w:cs="Arial"/>
          <w:color w:val="000000"/>
          <w:sz w:val="21"/>
          <w:szCs w:val="21"/>
        </w:rPr>
      </w:pPr>
    </w:p>
    <w:p w:rsidR="000D7101" w:rsidRPr="00E27867" w:rsidRDefault="000D7101" w:rsidP="000D7101">
      <w:pPr>
        <w:pStyle w:val="Prrafodelista"/>
        <w:ind w:left="0" w:right="18"/>
        <w:jc w:val="both"/>
        <w:rPr>
          <w:rFonts w:ascii="Arial" w:hAnsi="Arial" w:cs="Arial"/>
          <w:color w:val="000000"/>
          <w:sz w:val="21"/>
          <w:szCs w:val="21"/>
        </w:rPr>
      </w:pPr>
      <w:r w:rsidRPr="00E27867">
        <w:rPr>
          <w:rFonts w:ascii="Arial" w:hAnsi="Arial" w:cs="Arial"/>
          <w:b/>
          <w:color w:val="000000"/>
          <w:sz w:val="21"/>
          <w:szCs w:val="21"/>
        </w:rPr>
        <w:t>ARTÍCULO 21.-</w:t>
      </w:r>
      <w:r w:rsidRPr="00E27867">
        <w:rPr>
          <w:rFonts w:ascii="Arial" w:hAnsi="Arial" w:cs="Arial"/>
          <w:color w:val="000000"/>
          <w:sz w:val="21"/>
          <w:szCs w:val="21"/>
        </w:rPr>
        <w:t xml:space="preserve"> En cualquier tipo de transferencia de recursos, la Tesorería tendrá la facultad de rechazar la solicitud. Por lo que la Dependencia solicitante tendrá que analizar y vigilar que su propuesta no afecte los objetivos del proyecto de origen, así como sus metas, acciones, alcances o </w:t>
      </w:r>
      <w:r w:rsidRPr="00C441DA">
        <w:rPr>
          <w:rFonts w:ascii="Arial" w:hAnsi="Arial" w:cs="Arial"/>
          <w:sz w:val="21"/>
          <w:szCs w:val="21"/>
        </w:rPr>
        <w:t>cualquier otro elemento de afectación.</w:t>
      </w:r>
    </w:p>
    <w:p w:rsidR="000D7101" w:rsidRPr="00E27867" w:rsidRDefault="000D7101" w:rsidP="000D7101">
      <w:pPr>
        <w:pStyle w:val="Prrafodelista"/>
        <w:ind w:left="0" w:right="18"/>
        <w:jc w:val="both"/>
        <w:rPr>
          <w:rFonts w:ascii="Arial" w:hAnsi="Arial" w:cs="Arial"/>
          <w:color w:val="000000"/>
          <w:sz w:val="21"/>
          <w:szCs w:val="21"/>
        </w:rPr>
      </w:pPr>
    </w:p>
    <w:p w:rsidR="000D7101" w:rsidRPr="00E27867" w:rsidRDefault="000D7101" w:rsidP="000D7101">
      <w:pPr>
        <w:pStyle w:val="Prrafodelista"/>
        <w:ind w:left="0" w:right="18"/>
        <w:jc w:val="both"/>
        <w:rPr>
          <w:rFonts w:ascii="Arial" w:hAnsi="Arial" w:cs="Arial"/>
          <w:color w:val="000000"/>
          <w:sz w:val="21"/>
          <w:szCs w:val="21"/>
        </w:rPr>
      </w:pPr>
    </w:p>
    <w:p w:rsidR="000D7101" w:rsidRPr="00C441DA" w:rsidRDefault="000D7101" w:rsidP="000D7101">
      <w:pPr>
        <w:pStyle w:val="Prrafodelista"/>
        <w:ind w:left="0" w:right="18"/>
        <w:jc w:val="both"/>
        <w:rPr>
          <w:rFonts w:ascii="Arial" w:hAnsi="Arial" w:cs="Arial"/>
          <w:sz w:val="21"/>
          <w:szCs w:val="21"/>
        </w:rPr>
      </w:pPr>
      <w:r w:rsidRPr="00E27867">
        <w:rPr>
          <w:rFonts w:ascii="Arial" w:hAnsi="Arial" w:cs="Arial"/>
          <w:b/>
          <w:color w:val="000000"/>
          <w:sz w:val="21"/>
          <w:szCs w:val="21"/>
        </w:rPr>
        <w:t>ARTÍCULO 22.-</w:t>
      </w:r>
      <w:r w:rsidRPr="00E27867">
        <w:rPr>
          <w:rFonts w:ascii="Arial" w:hAnsi="Arial" w:cs="Arial"/>
          <w:color w:val="000000"/>
          <w:sz w:val="21"/>
          <w:szCs w:val="21"/>
        </w:rPr>
        <w:t xml:space="preserve"> </w:t>
      </w:r>
      <w:r w:rsidRPr="00C441DA">
        <w:rPr>
          <w:rFonts w:ascii="Arial" w:hAnsi="Arial" w:cs="Arial"/>
          <w:sz w:val="21"/>
          <w:szCs w:val="21"/>
        </w:rPr>
        <w:t>Las Dependencias solicitarán a la Tesorería en los formatos que esta determine, las adecuaciones presupuestales entre partidas que se consideren indispensables, debiendo justificar en forma clara y precisa las causas que motivan esta adecuación en los supuestos siguientes:</w:t>
      </w:r>
    </w:p>
    <w:p w:rsidR="000D7101" w:rsidRPr="00C441DA" w:rsidRDefault="000D7101" w:rsidP="000D7101">
      <w:pPr>
        <w:pStyle w:val="Prrafodelista"/>
        <w:ind w:left="0" w:right="18"/>
        <w:jc w:val="both"/>
        <w:rPr>
          <w:rFonts w:ascii="Arial" w:hAnsi="Arial" w:cs="Arial"/>
          <w:sz w:val="21"/>
          <w:szCs w:val="21"/>
        </w:rPr>
      </w:pPr>
    </w:p>
    <w:p w:rsidR="000D7101"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 xml:space="preserve">I.- Que la aplicación de los recursos cumpla con el desarrollo de la programación del Presupuesto de Egresos; </w:t>
      </w:r>
    </w:p>
    <w:p w:rsidR="000D7101" w:rsidRPr="00C441DA" w:rsidRDefault="000D7101" w:rsidP="000D7101">
      <w:pPr>
        <w:pStyle w:val="Prrafodelista"/>
        <w:ind w:left="0" w:right="18"/>
        <w:jc w:val="both"/>
        <w:rPr>
          <w:rFonts w:ascii="Arial" w:hAnsi="Arial" w:cs="Arial"/>
          <w:sz w:val="21"/>
          <w:szCs w:val="21"/>
        </w:rPr>
      </w:pPr>
    </w:p>
    <w:p w:rsidR="000D7101"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 xml:space="preserve">II.- Que se evite el uso inadecuado o deficiente de los recursos; </w:t>
      </w:r>
    </w:p>
    <w:p w:rsidR="000D7101" w:rsidRPr="00C441DA" w:rsidRDefault="000D7101" w:rsidP="000D7101">
      <w:pPr>
        <w:pStyle w:val="Prrafodelista"/>
        <w:ind w:left="0" w:right="18"/>
        <w:jc w:val="both"/>
        <w:rPr>
          <w:rFonts w:ascii="Arial" w:hAnsi="Arial" w:cs="Arial"/>
          <w:sz w:val="21"/>
          <w:szCs w:val="21"/>
        </w:rPr>
      </w:pPr>
    </w:p>
    <w:p w:rsidR="000D7101"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III.- Que optimice el ejercicio del gasto;</w:t>
      </w:r>
    </w:p>
    <w:p w:rsidR="000D7101" w:rsidRPr="00C441DA" w:rsidRDefault="000D7101" w:rsidP="000D7101">
      <w:pPr>
        <w:pStyle w:val="Prrafodelista"/>
        <w:ind w:left="0" w:right="18"/>
        <w:jc w:val="both"/>
        <w:rPr>
          <w:rFonts w:ascii="Arial" w:hAnsi="Arial" w:cs="Arial"/>
          <w:sz w:val="21"/>
          <w:szCs w:val="21"/>
        </w:rPr>
      </w:pPr>
    </w:p>
    <w:p w:rsidR="000D7101"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IV.- Que represente una mejora en la prestación de los servicios públicos municipales; o</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V.- Que por la entrada en vigor de leyes o normas que impongan nuevas o mayores cargas al Municipio y sus Entidades Paramunicipales.</w:t>
      </w:r>
    </w:p>
    <w:p w:rsidR="000D7101" w:rsidRPr="00C441DA" w:rsidRDefault="000D7101" w:rsidP="000D7101">
      <w:pPr>
        <w:pStyle w:val="Prrafodelista"/>
        <w:ind w:left="0" w:right="18"/>
        <w:jc w:val="both"/>
        <w:rPr>
          <w:rFonts w:ascii="Arial" w:hAnsi="Arial" w:cs="Arial"/>
          <w:sz w:val="21"/>
          <w:szCs w:val="21"/>
        </w:rPr>
      </w:pPr>
    </w:p>
    <w:p w:rsidR="000D7101" w:rsidRPr="00E27867" w:rsidRDefault="000D7101" w:rsidP="000D7101">
      <w:pPr>
        <w:pStyle w:val="Prrafodelista"/>
        <w:ind w:left="0" w:right="18"/>
        <w:jc w:val="both"/>
        <w:rPr>
          <w:rFonts w:ascii="Arial" w:hAnsi="Arial" w:cs="Arial"/>
          <w:color w:val="000000"/>
          <w:sz w:val="21"/>
          <w:szCs w:val="21"/>
        </w:rPr>
      </w:pPr>
    </w:p>
    <w:p w:rsidR="000D7101" w:rsidRPr="00C441DA" w:rsidRDefault="000D7101" w:rsidP="000D7101">
      <w:pPr>
        <w:pStyle w:val="Prrafodelista"/>
        <w:ind w:left="0" w:right="18"/>
        <w:jc w:val="both"/>
        <w:rPr>
          <w:rFonts w:ascii="Arial" w:hAnsi="Arial" w:cs="Arial"/>
          <w:sz w:val="21"/>
          <w:szCs w:val="21"/>
        </w:rPr>
      </w:pPr>
      <w:r w:rsidRPr="00E27867">
        <w:rPr>
          <w:rFonts w:ascii="Arial" w:hAnsi="Arial" w:cs="Arial"/>
          <w:b/>
          <w:color w:val="000000"/>
          <w:sz w:val="21"/>
          <w:szCs w:val="21"/>
        </w:rPr>
        <w:t>ARTÍCULO 23.-</w:t>
      </w:r>
      <w:r w:rsidRPr="00E27867">
        <w:rPr>
          <w:rFonts w:ascii="Arial" w:hAnsi="Arial" w:cs="Arial"/>
          <w:color w:val="000000"/>
          <w:sz w:val="21"/>
          <w:szCs w:val="21"/>
        </w:rPr>
        <w:t xml:space="preserve"> </w:t>
      </w:r>
      <w:r w:rsidRPr="00C441DA">
        <w:rPr>
          <w:rFonts w:ascii="Arial" w:hAnsi="Arial" w:cs="Arial"/>
          <w:sz w:val="21"/>
          <w:szCs w:val="21"/>
        </w:rPr>
        <w:t xml:space="preserve">Toda solicitud de adecuación presupuestal deberá registrarse a través del módulo de correspondiente del Sistema. Una vez capturada en el Sistema se imprimirá el reporte Cédula Presupuestal, misma que vendrá autorizada vía autógrafa por el Titular de la Dependencia. </w:t>
      </w:r>
    </w:p>
    <w:p w:rsidR="000D7101" w:rsidRPr="00C441DA" w:rsidRDefault="000D7101" w:rsidP="000D7101">
      <w:pPr>
        <w:pStyle w:val="Prrafodelista"/>
        <w:ind w:left="0" w:right="18"/>
        <w:jc w:val="both"/>
        <w:rPr>
          <w:rFonts w:ascii="Arial" w:hAnsi="Arial" w:cs="Arial"/>
          <w:sz w:val="21"/>
          <w:szCs w:val="21"/>
        </w:rPr>
      </w:pPr>
    </w:p>
    <w:p w:rsidR="000D7101" w:rsidRPr="00E27867" w:rsidRDefault="000D7101" w:rsidP="000D7101">
      <w:pPr>
        <w:pStyle w:val="Prrafodelista"/>
        <w:ind w:left="0" w:right="18"/>
        <w:jc w:val="both"/>
        <w:rPr>
          <w:rFonts w:ascii="Arial" w:hAnsi="Arial" w:cs="Arial"/>
          <w:color w:val="000000"/>
          <w:sz w:val="21"/>
          <w:szCs w:val="21"/>
        </w:rPr>
      </w:pPr>
    </w:p>
    <w:p w:rsidR="000D7101" w:rsidRPr="00C441DA" w:rsidRDefault="000D7101" w:rsidP="000D7101">
      <w:pPr>
        <w:pStyle w:val="Prrafodelista"/>
        <w:ind w:left="0" w:right="18"/>
        <w:jc w:val="both"/>
        <w:rPr>
          <w:rFonts w:ascii="Arial" w:hAnsi="Arial" w:cs="Arial"/>
          <w:sz w:val="21"/>
          <w:szCs w:val="21"/>
        </w:rPr>
      </w:pPr>
      <w:r w:rsidRPr="00E27867">
        <w:rPr>
          <w:rFonts w:ascii="Arial" w:hAnsi="Arial" w:cs="Arial"/>
          <w:b/>
          <w:color w:val="000000"/>
          <w:sz w:val="21"/>
          <w:szCs w:val="21"/>
        </w:rPr>
        <w:t>ARTÍCULO 24.-</w:t>
      </w:r>
      <w:r w:rsidRPr="00E27867">
        <w:rPr>
          <w:rFonts w:ascii="Arial" w:hAnsi="Arial" w:cs="Arial"/>
          <w:color w:val="000000"/>
          <w:sz w:val="21"/>
          <w:szCs w:val="21"/>
        </w:rPr>
        <w:t xml:space="preserve"> </w:t>
      </w:r>
      <w:r w:rsidRPr="00C441DA">
        <w:rPr>
          <w:rFonts w:ascii="Arial" w:hAnsi="Arial" w:cs="Arial"/>
          <w:sz w:val="21"/>
          <w:szCs w:val="21"/>
        </w:rPr>
        <w:t xml:space="preserve">En caso de que la Dependencia solicitante requiera la asignación presupuestal en una partida adicional, creará </w:t>
      </w:r>
      <w:proofErr w:type="gramStart"/>
      <w:r w:rsidRPr="00C441DA">
        <w:rPr>
          <w:rFonts w:ascii="Arial" w:hAnsi="Arial" w:cs="Arial"/>
          <w:sz w:val="21"/>
          <w:szCs w:val="21"/>
        </w:rPr>
        <w:t>una</w:t>
      </w:r>
      <w:proofErr w:type="gramEnd"/>
      <w:r w:rsidRPr="00C441DA">
        <w:rPr>
          <w:rFonts w:ascii="Arial" w:hAnsi="Arial" w:cs="Arial"/>
          <w:sz w:val="21"/>
          <w:szCs w:val="21"/>
        </w:rPr>
        <w:t xml:space="preserve"> destino específico o fuente de financiamiento dentro de un proyecto ya existente, tendrá que acudir a Tesorería a través de la Dirección de Presupuesto para la inclusión presupuestal del mismo sujeto a los lineamientos siguientes:</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I.- Capturar su petición en el Sistema;</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II.- Elaborar oficio de petición con las justificaciones que motivan lo solicitud de adecuación;</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III.- Presentar solicitud de adecuación presupuestal, impresa del Sistema y firmada;</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IV.- No podrán ser de origen las claves cuyas partidas son consideradas de Ampliación Automática a excepción de las claves que contengan la partida 1611 Impacto al salario en el transcurso del año, las del capítulo 6000 dentro de una misma dependencia o cuando su destino se dirija a Servicios Personales en los rubros de educación, salud o inversión pública;</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V.- La partida 1611 podrá transferirse hasta el 100% de su asignación inicial, solo dentro del capítulo 1000 y con el objeto de ampliar las diversas partidas como resultado de incrementos salariales;</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VI.- Las transferencias del capítulo 6000, se podrán realizar siempre y cuando las claves de destino sean del mismo capítulo;</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VII.- Las claves que contengan partidas de Servicios Personales no podrán ser consideradas como de destino cuando el recurso de origen provenga de capítulos distintos a este;</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VIII.- Las claves que contengan partidas de Servicios Personales que se consideren de Origen, se podrán transferir los recursos a claves de destino de otros capítulos de la misma dependencia, previa validación presupuestal; y</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r w:rsidRPr="00C441DA">
        <w:rPr>
          <w:rFonts w:ascii="Arial" w:hAnsi="Arial" w:cs="Arial"/>
          <w:sz w:val="21"/>
          <w:szCs w:val="21"/>
        </w:rPr>
        <w:t>IX.- Las autorizaciones de transferencias entre partidas del mismo capítulo y misma dependencia, podrán considerar hasta el 100% de su asignación autorizada, previa validación presupuestal.</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center"/>
        <w:rPr>
          <w:rFonts w:ascii="Arial" w:hAnsi="Arial" w:cs="Arial"/>
          <w:b/>
          <w:sz w:val="21"/>
          <w:szCs w:val="21"/>
          <w:lang w:val="es-MX"/>
        </w:rPr>
      </w:pPr>
      <w:r w:rsidRPr="00C441DA">
        <w:rPr>
          <w:rFonts w:ascii="Arial" w:hAnsi="Arial" w:cs="Arial"/>
          <w:b/>
          <w:sz w:val="21"/>
          <w:szCs w:val="21"/>
          <w:lang w:val="es-MX"/>
        </w:rPr>
        <w:t>TÍTULO SEGUNDO</w:t>
      </w:r>
    </w:p>
    <w:p w:rsidR="000D7101" w:rsidRPr="00C441DA" w:rsidRDefault="000D7101" w:rsidP="000D7101">
      <w:pPr>
        <w:pStyle w:val="Prrafodelista"/>
        <w:ind w:left="0" w:right="18"/>
        <w:jc w:val="center"/>
        <w:rPr>
          <w:rFonts w:ascii="Arial" w:hAnsi="Arial" w:cs="Arial"/>
          <w:b/>
          <w:sz w:val="21"/>
          <w:szCs w:val="21"/>
          <w:lang w:val="es-MX"/>
        </w:rPr>
      </w:pPr>
      <w:r w:rsidRPr="00C441DA">
        <w:rPr>
          <w:rFonts w:ascii="Arial" w:hAnsi="Arial" w:cs="Arial"/>
          <w:b/>
          <w:sz w:val="21"/>
          <w:szCs w:val="21"/>
          <w:lang w:val="es-MX"/>
        </w:rPr>
        <w:t>DE LOS MECANISMOS DE CONTROL PRESUPUESTAL</w:t>
      </w:r>
    </w:p>
    <w:p w:rsidR="000D7101" w:rsidRPr="00C441DA" w:rsidRDefault="000D7101" w:rsidP="000D7101">
      <w:pPr>
        <w:pStyle w:val="Prrafodelista"/>
        <w:ind w:left="0" w:right="18"/>
        <w:jc w:val="center"/>
        <w:rPr>
          <w:rFonts w:ascii="Arial" w:hAnsi="Arial" w:cs="Arial"/>
          <w:b/>
          <w:sz w:val="21"/>
          <w:szCs w:val="21"/>
          <w:lang w:val="es-MX"/>
        </w:rPr>
      </w:pPr>
    </w:p>
    <w:p w:rsidR="000D7101" w:rsidRPr="00C441DA" w:rsidRDefault="000D7101" w:rsidP="000D7101">
      <w:pPr>
        <w:pStyle w:val="Prrafodelista"/>
        <w:ind w:left="0" w:right="18"/>
        <w:jc w:val="center"/>
        <w:rPr>
          <w:rFonts w:ascii="Arial" w:hAnsi="Arial" w:cs="Arial"/>
          <w:b/>
          <w:sz w:val="21"/>
          <w:szCs w:val="21"/>
          <w:lang w:val="es-MX"/>
        </w:rPr>
      </w:pPr>
    </w:p>
    <w:p w:rsidR="000D7101" w:rsidRPr="00C441DA" w:rsidRDefault="000D7101" w:rsidP="000D7101">
      <w:pPr>
        <w:pStyle w:val="Prrafodelista"/>
        <w:ind w:left="0" w:right="18"/>
        <w:jc w:val="both"/>
        <w:rPr>
          <w:rFonts w:ascii="Arial" w:hAnsi="Arial" w:cs="Arial"/>
          <w:sz w:val="21"/>
          <w:szCs w:val="21"/>
          <w:lang w:val="es-MX"/>
        </w:rPr>
      </w:pPr>
      <w:r w:rsidRPr="00E27867">
        <w:rPr>
          <w:rFonts w:ascii="Arial" w:hAnsi="Arial" w:cs="Arial"/>
          <w:b/>
          <w:color w:val="000000"/>
          <w:sz w:val="21"/>
          <w:szCs w:val="21"/>
          <w:lang w:val="es-MX"/>
        </w:rPr>
        <w:t xml:space="preserve">ARTÍCULO 25.- </w:t>
      </w:r>
      <w:r w:rsidRPr="00C441DA">
        <w:rPr>
          <w:rFonts w:ascii="Arial" w:hAnsi="Arial" w:cs="Arial"/>
          <w:sz w:val="21"/>
          <w:szCs w:val="21"/>
          <w:lang w:val="es-MX"/>
        </w:rPr>
        <w:t>Para garantizar que el Municipio cuente con recursos que posibiliten el cumplimiento de las obligaciones a contraer, se establecen los mecanismos de control presupuestal siguientes:</w:t>
      </w:r>
    </w:p>
    <w:p w:rsidR="000D7101" w:rsidRPr="00C441DA" w:rsidRDefault="000D7101" w:rsidP="000D7101">
      <w:pPr>
        <w:pStyle w:val="Prrafodelista"/>
        <w:ind w:left="0" w:right="18"/>
        <w:jc w:val="both"/>
        <w:rPr>
          <w:rFonts w:ascii="Arial" w:hAnsi="Arial" w:cs="Arial"/>
          <w:sz w:val="21"/>
          <w:szCs w:val="21"/>
          <w:lang w:val="es-MX"/>
        </w:rPr>
      </w:pPr>
    </w:p>
    <w:p w:rsidR="000D7101" w:rsidRPr="00C441DA" w:rsidRDefault="000D7101" w:rsidP="000D7101">
      <w:pPr>
        <w:pStyle w:val="Prrafodelista"/>
        <w:ind w:left="0" w:right="18"/>
        <w:jc w:val="both"/>
        <w:rPr>
          <w:rFonts w:ascii="Arial" w:hAnsi="Arial" w:cs="Arial"/>
          <w:sz w:val="21"/>
          <w:szCs w:val="21"/>
          <w:lang w:val="es-MX"/>
        </w:rPr>
      </w:pPr>
      <w:r w:rsidRPr="00C441DA">
        <w:rPr>
          <w:rFonts w:ascii="Arial" w:hAnsi="Arial" w:cs="Arial"/>
          <w:sz w:val="21"/>
          <w:szCs w:val="21"/>
          <w:lang w:val="es-MX"/>
        </w:rPr>
        <w:t>I.- Viabilidad Financiera que será emita por la Dirección General de Finanzas; y</w:t>
      </w:r>
    </w:p>
    <w:p w:rsidR="000D7101" w:rsidRPr="00C441DA" w:rsidRDefault="000D7101" w:rsidP="000D7101">
      <w:pPr>
        <w:pStyle w:val="Prrafodelista"/>
        <w:ind w:left="0" w:right="18"/>
        <w:jc w:val="both"/>
        <w:rPr>
          <w:rFonts w:ascii="Arial" w:hAnsi="Arial" w:cs="Arial"/>
          <w:sz w:val="21"/>
          <w:szCs w:val="21"/>
          <w:lang w:val="es-MX"/>
        </w:rPr>
      </w:pPr>
    </w:p>
    <w:p w:rsidR="000D7101" w:rsidRPr="00C441DA" w:rsidRDefault="000D7101" w:rsidP="000D7101">
      <w:pPr>
        <w:pStyle w:val="Prrafodelista"/>
        <w:ind w:left="0" w:right="18"/>
        <w:jc w:val="both"/>
        <w:rPr>
          <w:rFonts w:ascii="Arial" w:hAnsi="Arial" w:cs="Arial"/>
          <w:sz w:val="21"/>
          <w:szCs w:val="21"/>
          <w:lang w:val="es-MX"/>
        </w:rPr>
      </w:pPr>
      <w:r w:rsidRPr="00C441DA">
        <w:rPr>
          <w:rFonts w:ascii="Arial" w:hAnsi="Arial" w:cs="Arial"/>
          <w:sz w:val="21"/>
          <w:szCs w:val="21"/>
          <w:lang w:val="es-MX"/>
        </w:rPr>
        <w:t xml:space="preserve">II.- </w:t>
      </w:r>
      <w:r w:rsidRPr="00C441DA">
        <w:rPr>
          <w:rFonts w:ascii="Arial" w:hAnsi="Arial" w:cs="Arial"/>
          <w:sz w:val="21"/>
          <w:szCs w:val="21"/>
        </w:rPr>
        <w:t xml:space="preserve">Validación Presupuestal </w:t>
      </w:r>
      <w:r w:rsidRPr="00C441DA">
        <w:rPr>
          <w:rFonts w:ascii="Arial" w:hAnsi="Arial" w:cs="Arial"/>
          <w:sz w:val="21"/>
          <w:szCs w:val="21"/>
          <w:lang w:val="es-MX"/>
        </w:rPr>
        <w:t>que será emita por la Dirección de Presupuesto.</w:t>
      </w:r>
    </w:p>
    <w:p w:rsidR="000D7101" w:rsidRPr="00C441DA" w:rsidRDefault="000D7101" w:rsidP="000D7101">
      <w:pPr>
        <w:pStyle w:val="Prrafodelista"/>
        <w:ind w:left="0" w:right="18"/>
        <w:jc w:val="both"/>
        <w:rPr>
          <w:rFonts w:ascii="Arial" w:hAnsi="Arial" w:cs="Arial"/>
          <w:sz w:val="21"/>
          <w:szCs w:val="21"/>
          <w:lang w:val="es-MX"/>
        </w:rPr>
      </w:pPr>
    </w:p>
    <w:p w:rsidR="000D7101" w:rsidRPr="00C441DA" w:rsidRDefault="000D7101" w:rsidP="000D7101">
      <w:pPr>
        <w:pStyle w:val="Prrafodelista"/>
        <w:ind w:left="0" w:right="18"/>
        <w:jc w:val="both"/>
        <w:rPr>
          <w:rFonts w:ascii="Arial" w:hAnsi="Arial" w:cs="Arial"/>
          <w:sz w:val="21"/>
          <w:szCs w:val="21"/>
          <w:lang w:val="es-MX"/>
        </w:rPr>
      </w:pPr>
    </w:p>
    <w:p w:rsidR="000D7101" w:rsidRPr="00C441DA" w:rsidRDefault="000D7101" w:rsidP="000D7101">
      <w:pPr>
        <w:pStyle w:val="Prrafodelista"/>
        <w:ind w:left="0" w:right="18"/>
        <w:jc w:val="both"/>
        <w:rPr>
          <w:rFonts w:ascii="Arial" w:hAnsi="Arial" w:cs="Arial"/>
          <w:sz w:val="21"/>
          <w:szCs w:val="21"/>
          <w:lang w:val="es-MX"/>
        </w:rPr>
      </w:pPr>
      <w:r w:rsidRPr="00E27867">
        <w:rPr>
          <w:rFonts w:ascii="Arial" w:hAnsi="Arial" w:cs="Arial"/>
          <w:b/>
          <w:color w:val="000000"/>
          <w:sz w:val="21"/>
          <w:szCs w:val="21"/>
          <w:lang w:val="es-MX"/>
        </w:rPr>
        <w:t xml:space="preserve">ARTÍCULO 26.- </w:t>
      </w:r>
      <w:r w:rsidRPr="00E27867">
        <w:rPr>
          <w:rFonts w:ascii="Arial" w:hAnsi="Arial" w:cs="Arial"/>
          <w:color w:val="000000"/>
          <w:sz w:val="21"/>
          <w:szCs w:val="21"/>
          <w:lang w:val="es-MX"/>
        </w:rPr>
        <w:t>Las</w:t>
      </w:r>
      <w:r w:rsidRPr="00E27867">
        <w:rPr>
          <w:rFonts w:ascii="Arial" w:hAnsi="Arial" w:cs="Arial"/>
          <w:b/>
          <w:color w:val="000000"/>
          <w:sz w:val="21"/>
          <w:szCs w:val="21"/>
          <w:lang w:val="es-MX"/>
        </w:rPr>
        <w:t xml:space="preserve"> </w:t>
      </w:r>
      <w:r w:rsidRPr="00C441DA">
        <w:rPr>
          <w:rFonts w:ascii="Arial" w:hAnsi="Arial" w:cs="Arial"/>
          <w:sz w:val="21"/>
          <w:szCs w:val="21"/>
          <w:lang w:val="es-MX"/>
        </w:rPr>
        <w:t>Dependencias, Unidades Ejecutoras del Gasto y Entidades Paramunicipales que requieran de autorizaciones, contratos o convenios que implique diversos elementos financieros a considerar que puedan tener impactos a la hacienda municipal deberán contar con una Viabilidad Financiera, previamente a su materialización.</w:t>
      </w:r>
    </w:p>
    <w:p w:rsidR="000D7101" w:rsidRPr="00C441DA" w:rsidRDefault="000D7101" w:rsidP="000D7101">
      <w:pPr>
        <w:ind w:right="18"/>
        <w:jc w:val="both"/>
        <w:rPr>
          <w:rFonts w:ascii="Arial" w:hAnsi="Arial" w:cs="Arial"/>
          <w:sz w:val="21"/>
          <w:szCs w:val="21"/>
        </w:rPr>
      </w:pPr>
    </w:p>
    <w:p w:rsidR="000D7101" w:rsidRPr="00E27867" w:rsidRDefault="000D7101" w:rsidP="000D7101">
      <w:pPr>
        <w:pStyle w:val="Ttulo3"/>
        <w:ind w:right="18"/>
        <w:jc w:val="both"/>
        <w:rPr>
          <w:rFonts w:cs="Arial"/>
          <w:sz w:val="21"/>
          <w:szCs w:val="21"/>
          <w:lang w:val="es-MX"/>
        </w:rPr>
      </w:pPr>
    </w:p>
    <w:p w:rsidR="000D7101" w:rsidRPr="00C441DA" w:rsidRDefault="000D7101" w:rsidP="000D7101">
      <w:pPr>
        <w:ind w:right="18"/>
        <w:jc w:val="both"/>
        <w:rPr>
          <w:rFonts w:ascii="Arial" w:hAnsi="Arial" w:cs="Arial"/>
          <w:sz w:val="21"/>
          <w:szCs w:val="21"/>
        </w:rPr>
      </w:pPr>
      <w:r w:rsidRPr="00E27867">
        <w:rPr>
          <w:rFonts w:ascii="Arial" w:hAnsi="Arial" w:cs="Arial"/>
          <w:b/>
          <w:sz w:val="21"/>
          <w:szCs w:val="21"/>
        </w:rPr>
        <w:t xml:space="preserve">ARTÍCULO 27.- </w:t>
      </w:r>
      <w:r w:rsidRPr="00C441DA">
        <w:rPr>
          <w:rFonts w:ascii="Arial" w:hAnsi="Arial" w:cs="Arial"/>
          <w:sz w:val="21"/>
          <w:szCs w:val="21"/>
        </w:rPr>
        <w:t>La Viabilidad Financiera deberá exponer las condiciones, alcances y consecuencias del programa, proceso, proyecto o ejecución de algún servicio público municipal a fin de que la Dirección General de Finanzas analice y emita su determinación dando vista a la Dirección de Planeación Institucional para el seguimiento a los objetivos del Plan Municipal de Desarrollo.</w:t>
      </w:r>
    </w:p>
    <w:p w:rsidR="000D7101" w:rsidRPr="00C441DA" w:rsidRDefault="000D7101" w:rsidP="000D7101">
      <w:pPr>
        <w:ind w:right="18"/>
        <w:jc w:val="both"/>
        <w:rPr>
          <w:rFonts w:ascii="Arial" w:hAnsi="Arial" w:cs="Arial"/>
          <w:sz w:val="21"/>
          <w:szCs w:val="21"/>
        </w:rPr>
      </w:pPr>
    </w:p>
    <w:p w:rsidR="000D7101" w:rsidRPr="00E27867" w:rsidRDefault="000D7101" w:rsidP="000D7101">
      <w:pPr>
        <w:ind w:right="18"/>
        <w:rPr>
          <w:rFonts w:ascii="Arial" w:hAnsi="Arial" w:cs="Arial"/>
          <w:b/>
          <w:sz w:val="21"/>
          <w:szCs w:val="21"/>
        </w:rPr>
      </w:pPr>
    </w:p>
    <w:p w:rsidR="000D7101" w:rsidRPr="00E27867" w:rsidRDefault="000D7101" w:rsidP="000D7101">
      <w:pPr>
        <w:ind w:right="18"/>
        <w:jc w:val="both"/>
        <w:rPr>
          <w:rFonts w:ascii="Arial" w:hAnsi="Arial" w:cs="Arial"/>
          <w:sz w:val="21"/>
          <w:szCs w:val="21"/>
        </w:rPr>
      </w:pPr>
      <w:r w:rsidRPr="00E27867">
        <w:rPr>
          <w:rFonts w:ascii="Arial" w:hAnsi="Arial" w:cs="Arial"/>
          <w:b/>
          <w:sz w:val="21"/>
          <w:szCs w:val="21"/>
        </w:rPr>
        <w:t xml:space="preserve">ARTÍCULO 28.- </w:t>
      </w:r>
      <w:r w:rsidRPr="00E27867">
        <w:rPr>
          <w:rFonts w:ascii="Arial" w:hAnsi="Arial" w:cs="Arial"/>
          <w:sz w:val="21"/>
          <w:szCs w:val="21"/>
        </w:rPr>
        <w:t>Las</w:t>
      </w:r>
      <w:r w:rsidRPr="00E27867">
        <w:rPr>
          <w:rFonts w:ascii="Arial" w:hAnsi="Arial" w:cs="Arial"/>
          <w:b/>
          <w:sz w:val="21"/>
          <w:szCs w:val="21"/>
        </w:rPr>
        <w:t xml:space="preserve"> </w:t>
      </w:r>
      <w:r w:rsidRPr="00C441DA">
        <w:rPr>
          <w:rFonts w:ascii="Arial" w:hAnsi="Arial" w:cs="Arial"/>
          <w:sz w:val="21"/>
          <w:szCs w:val="21"/>
        </w:rPr>
        <w:t>Dependencias, Unidades Ejecutoras del Gasto y Entidades Paramunicipales que requieran de autorizaciones, contratos o convenios que implique</w:t>
      </w:r>
      <w:r w:rsidRPr="00E27867">
        <w:rPr>
          <w:rFonts w:ascii="Arial" w:hAnsi="Arial" w:cs="Arial"/>
          <w:sz w:val="21"/>
          <w:szCs w:val="21"/>
        </w:rPr>
        <w:t xml:space="preserve"> ejecutar recursos del Presupuesto de Egresos, </w:t>
      </w:r>
      <w:r w:rsidRPr="00C441DA">
        <w:rPr>
          <w:rFonts w:ascii="Arial" w:hAnsi="Arial" w:cs="Arial"/>
          <w:sz w:val="21"/>
          <w:szCs w:val="21"/>
        </w:rPr>
        <w:t>deberán contar con una Validación Presupuestal, previa a su materialización.</w:t>
      </w:r>
    </w:p>
    <w:p w:rsidR="000D7101" w:rsidRPr="00C441DA" w:rsidRDefault="000D7101" w:rsidP="000D7101">
      <w:pPr>
        <w:pStyle w:val="Ttulo3"/>
        <w:ind w:right="18"/>
        <w:jc w:val="both"/>
        <w:rPr>
          <w:rFonts w:cs="Arial"/>
          <w:b w:val="0"/>
          <w:sz w:val="21"/>
          <w:szCs w:val="21"/>
          <w:lang w:val="es-MX"/>
        </w:rPr>
      </w:pPr>
    </w:p>
    <w:p w:rsidR="000D7101" w:rsidRPr="00C441DA" w:rsidRDefault="000D7101" w:rsidP="000D7101">
      <w:pPr>
        <w:rPr>
          <w:sz w:val="21"/>
          <w:szCs w:val="21"/>
        </w:rPr>
      </w:pPr>
    </w:p>
    <w:p w:rsidR="000D7101" w:rsidRPr="00C441DA" w:rsidRDefault="000D7101" w:rsidP="000D7101">
      <w:pPr>
        <w:ind w:right="18"/>
        <w:rPr>
          <w:sz w:val="21"/>
          <w:szCs w:val="21"/>
        </w:rPr>
      </w:pPr>
      <w:r w:rsidRPr="00E27867">
        <w:rPr>
          <w:rFonts w:ascii="Arial" w:hAnsi="Arial" w:cs="Arial"/>
          <w:b/>
          <w:sz w:val="21"/>
          <w:szCs w:val="21"/>
        </w:rPr>
        <w:t xml:space="preserve">ARTÍCULO 29.- </w:t>
      </w:r>
      <w:r w:rsidRPr="00C441DA">
        <w:rPr>
          <w:rFonts w:ascii="Arial" w:hAnsi="Arial" w:cs="Arial"/>
          <w:sz w:val="21"/>
          <w:szCs w:val="21"/>
        </w:rPr>
        <w:t>La Validación Presupuestal debe contener lo siguiente:</w:t>
      </w:r>
    </w:p>
    <w:p w:rsidR="000D7101" w:rsidRPr="00C441DA" w:rsidRDefault="000D7101" w:rsidP="000D7101">
      <w:pPr>
        <w:pStyle w:val="Ttulo3"/>
        <w:ind w:right="18"/>
        <w:jc w:val="both"/>
        <w:rPr>
          <w:rFonts w:cs="Arial"/>
          <w:b w:val="0"/>
          <w:sz w:val="21"/>
          <w:szCs w:val="21"/>
          <w:lang w:val="es-MX"/>
        </w:rPr>
      </w:pPr>
    </w:p>
    <w:p w:rsidR="000D7101" w:rsidRDefault="000D7101" w:rsidP="000D7101">
      <w:pPr>
        <w:pStyle w:val="Ttulo3"/>
        <w:ind w:right="18"/>
        <w:jc w:val="both"/>
        <w:rPr>
          <w:rFonts w:cs="Arial"/>
          <w:b w:val="0"/>
          <w:sz w:val="21"/>
          <w:szCs w:val="21"/>
          <w:lang w:val="es-MX"/>
        </w:rPr>
      </w:pPr>
      <w:r w:rsidRPr="00C441DA">
        <w:rPr>
          <w:rFonts w:cs="Arial"/>
          <w:b w:val="0"/>
          <w:sz w:val="21"/>
          <w:szCs w:val="21"/>
          <w:lang w:val="es-MX"/>
        </w:rPr>
        <w:t>I.- Partida Presupuestal por afectar;</w:t>
      </w:r>
    </w:p>
    <w:p w:rsidR="000D7101" w:rsidRPr="00010C71" w:rsidRDefault="000D7101" w:rsidP="000D7101">
      <w:pPr>
        <w:rPr>
          <w:lang w:eastAsia="es-MX"/>
        </w:rPr>
      </w:pPr>
    </w:p>
    <w:p w:rsidR="000D7101" w:rsidRDefault="000D7101" w:rsidP="000D7101">
      <w:pPr>
        <w:pStyle w:val="Ttulo3"/>
        <w:ind w:right="18"/>
        <w:jc w:val="both"/>
        <w:rPr>
          <w:rFonts w:cs="Arial"/>
          <w:b w:val="0"/>
          <w:sz w:val="21"/>
          <w:szCs w:val="21"/>
          <w:lang w:val="es-MX"/>
        </w:rPr>
      </w:pPr>
      <w:r w:rsidRPr="00C441DA">
        <w:rPr>
          <w:rFonts w:cs="Arial"/>
          <w:b w:val="0"/>
          <w:sz w:val="21"/>
          <w:szCs w:val="21"/>
          <w:lang w:val="es-MX"/>
        </w:rPr>
        <w:t>II.- Número de Proyecto; y</w:t>
      </w:r>
    </w:p>
    <w:p w:rsidR="000D7101" w:rsidRPr="00010C71" w:rsidRDefault="000D7101" w:rsidP="000D7101">
      <w:pPr>
        <w:rPr>
          <w:lang w:eastAsia="es-MX"/>
        </w:rPr>
      </w:pPr>
    </w:p>
    <w:p w:rsidR="000D7101" w:rsidRPr="00C441DA" w:rsidRDefault="000D7101" w:rsidP="000D7101">
      <w:pPr>
        <w:pStyle w:val="Ttulo3"/>
        <w:ind w:right="18"/>
        <w:jc w:val="both"/>
        <w:rPr>
          <w:rFonts w:cs="Arial"/>
          <w:b w:val="0"/>
          <w:sz w:val="21"/>
          <w:szCs w:val="21"/>
          <w:lang w:val="es-MX"/>
        </w:rPr>
      </w:pPr>
      <w:r w:rsidRPr="00C441DA">
        <w:rPr>
          <w:rFonts w:cs="Arial"/>
          <w:b w:val="0"/>
          <w:sz w:val="21"/>
          <w:szCs w:val="21"/>
          <w:lang w:val="es-MX"/>
        </w:rPr>
        <w:t>III.- Monto por ejercer.</w:t>
      </w:r>
    </w:p>
    <w:p w:rsidR="000D7101" w:rsidRPr="00C441DA" w:rsidRDefault="000D7101" w:rsidP="000D7101">
      <w:pPr>
        <w:ind w:right="18"/>
        <w:rPr>
          <w:rFonts w:ascii="Arial" w:hAnsi="Arial" w:cs="Arial"/>
          <w:sz w:val="21"/>
          <w:szCs w:val="21"/>
        </w:rPr>
      </w:pPr>
    </w:p>
    <w:p w:rsidR="000D7101" w:rsidRPr="00C441DA" w:rsidRDefault="000D7101" w:rsidP="000D7101">
      <w:pPr>
        <w:ind w:right="18"/>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r w:rsidRPr="00E27867">
        <w:rPr>
          <w:rFonts w:ascii="Arial" w:hAnsi="Arial" w:cs="Arial"/>
          <w:b/>
          <w:color w:val="000000"/>
          <w:sz w:val="21"/>
          <w:szCs w:val="21"/>
        </w:rPr>
        <w:t xml:space="preserve">ARTÍCULO 30.- </w:t>
      </w:r>
      <w:r w:rsidRPr="00C441DA">
        <w:rPr>
          <w:rFonts w:ascii="Arial" w:hAnsi="Arial" w:cs="Arial"/>
          <w:sz w:val="21"/>
          <w:szCs w:val="21"/>
        </w:rPr>
        <w:t xml:space="preserve">No se deberá emitir una </w:t>
      </w:r>
      <w:r w:rsidRPr="00C441DA">
        <w:rPr>
          <w:rFonts w:ascii="Arial" w:hAnsi="Arial" w:cs="Arial"/>
          <w:sz w:val="21"/>
          <w:szCs w:val="21"/>
          <w:lang w:val="es-MX"/>
        </w:rPr>
        <w:t xml:space="preserve">Viabilidad Financiera o </w:t>
      </w:r>
      <w:r w:rsidRPr="00C441DA">
        <w:rPr>
          <w:rFonts w:ascii="Arial" w:hAnsi="Arial" w:cs="Arial"/>
          <w:sz w:val="21"/>
          <w:szCs w:val="21"/>
        </w:rPr>
        <w:t>Validación Presupuestal cuando carezcan de fuente de financiamiento o que la misma no sea garantizada en el mediano o largo plazo.</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pStyle w:val="Prrafodelista"/>
        <w:ind w:left="0" w:right="18"/>
        <w:jc w:val="both"/>
        <w:rPr>
          <w:rFonts w:ascii="Arial" w:hAnsi="Arial" w:cs="Arial"/>
          <w:sz w:val="21"/>
          <w:szCs w:val="21"/>
        </w:rPr>
      </w:pPr>
      <w:r w:rsidRPr="00E27867">
        <w:rPr>
          <w:rFonts w:ascii="Arial" w:hAnsi="Arial" w:cs="Arial"/>
          <w:b/>
          <w:color w:val="000000"/>
          <w:sz w:val="21"/>
          <w:szCs w:val="21"/>
        </w:rPr>
        <w:t xml:space="preserve">ARTÍCULO 31.- </w:t>
      </w:r>
      <w:r w:rsidRPr="00C441DA">
        <w:rPr>
          <w:rFonts w:ascii="Arial" w:hAnsi="Arial" w:cs="Arial"/>
          <w:sz w:val="21"/>
          <w:szCs w:val="21"/>
        </w:rPr>
        <w:t xml:space="preserve">La Dirección General Jurídica y la Dirección de Dictaminación y Gestión Gubernamental podrán </w:t>
      </w:r>
      <w:r w:rsidRPr="00C441DA">
        <w:rPr>
          <w:rFonts w:ascii="Arial" w:hAnsi="Arial" w:cs="Arial"/>
          <w:sz w:val="21"/>
          <w:szCs w:val="21"/>
          <w:lang w:val="es-MX"/>
        </w:rPr>
        <w:t>cuando requieran de autorizaciones, contratos o convenios que implique</w:t>
      </w:r>
      <w:r w:rsidRPr="00E27867">
        <w:rPr>
          <w:rFonts w:ascii="Arial" w:hAnsi="Arial" w:cs="Arial"/>
          <w:color w:val="000000"/>
          <w:sz w:val="21"/>
          <w:szCs w:val="21"/>
        </w:rPr>
        <w:t xml:space="preserve"> ejecutar recursos del Presupuesto de Egresos,</w:t>
      </w:r>
      <w:r w:rsidRPr="00C441DA">
        <w:rPr>
          <w:rFonts w:ascii="Arial" w:hAnsi="Arial" w:cs="Arial"/>
          <w:sz w:val="21"/>
          <w:szCs w:val="21"/>
        </w:rPr>
        <w:t xml:space="preserve"> solicitar la </w:t>
      </w:r>
      <w:r w:rsidRPr="00C441DA">
        <w:rPr>
          <w:rFonts w:ascii="Arial" w:hAnsi="Arial" w:cs="Arial"/>
          <w:sz w:val="21"/>
          <w:szCs w:val="21"/>
          <w:lang w:val="es-MX"/>
        </w:rPr>
        <w:t xml:space="preserve">Viabilidad Financiera o </w:t>
      </w:r>
      <w:r w:rsidRPr="00C441DA">
        <w:rPr>
          <w:rFonts w:ascii="Arial" w:hAnsi="Arial" w:cs="Arial"/>
          <w:sz w:val="21"/>
          <w:szCs w:val="21"/>
        </w:rPr>
        <w:t>Validación Presupuestal, a las Dependencias o Unidades Responsables del Gasto</w:t>
      </w:r>
      <w:r w:rsidRPr="00E27867">
        <w:rPr>
          <w:rFonts w:ascii="Arial" w:hAnsi="Arial" w:cs="Arial"/>
          <w:color w:val="000000"/>
          <w:sz w:val="21"/>
          <w:szCs w:val="21"/>
        </w:rPr>
        <w:t>.</w:t>
      </w:r>
      <w:r w:rsidRPr="00C441DA">
        <w:rPr>
          <w:rFonts w:ascii="Arial" w:hAnsi="Arial" w:cs="Arial"/>
          <w:sz w:val="21"/>
          <w:szCs w:val="21"/>
        </w:rPr>
        <w:t xml:space="preserve"> </w:t>
      </w:r>
    </w:p>
    <w:p w:rsidR="000D7101" w:rsidRPr="00C441DA" w:rsidRDefault="000D7101" w:rsidP="000D7101">
      <w:pPr>
        <w:pStyle w:val="Prrafodelista"/>
        <w:ind w:left="0" w:right="18"/>
        <w:jc w:val="both"/>
        <w:rPr>
          <w:rFonts w:ascii="Arial" w:hAnsi="Arial" w:cs="Arial"/>
          <w:sz w:val="21"/>
          <w:szCs w:val="21"/>
        </w:rPr>
      </w:pPr>
    </w:p>
    <w:p w:rsidR="000D7101" w:rsidRPr="00C441DA" w:rsidRDefault="000D7101" w:rsidP="000D7101">
      <w:pPr>
        <w:ind w:right="18"/>
        <w:rPr>
          <w:rFonts w:ascii="Arial" w:eastAsia="Arial" w:hAnsi="Arial" w:cs="Arial"/>
          <w:b/>
          <w:sz w:val="21"/>
          <w:szCs w:val="21"/>
        </w:rPr>
      </w:pPr>
    </w:p>
    <w:p w:rsidR="000D7101" w:rsidRPr="00C441DA" w:rsidRDefault="000D7101" w:rsidP="000D7101">
      <w:pPr>
        <w:pStyle w:val="Ttulo3"/>
        <w:ind w:right="18"/>
        <w:rPr>
          <w:rFonts w:cs="Arial"/>
          <w:sz w:val="21"/>
          <w:szCs w:val="21"/>
          <w:lang w:val="es-MX"/>
        </w:rPr>
      </w:pPr>
      <w:r w:rsidRPr="00C441DA">
        <w:rPr>
          <w:rFonts w:cs="Arial"/>
          <w:sz w:val="21"/>
          <w:szCs w:val="21"/>
          <w:lang w:val="es-MX"/>
        </w:rPr>
        <w:t>TÍTULO TERCERO</w:t>
      </w:r>
    </w:p>
    <w:p w:rsidR="000D7101" w:rsidRPr="00C441DA" w:rsidRDefault="000D7101" w:rsidP="000D7101">
      <w:pPr>
        <w:ind w:right="18"/>
        <w:jc w:val="center"/>
        <w:rPr>
          <w:rFonts w:ascii="Arial" w:eastAsia="Arial" w:hAnsi="Arial" w:cs="Arial"/>
          <w:b/>
          <w:sz w:val="21"/>
          <w:szCs w:val="21"/>
        </w:rPr>
      </w:pPr>
      <w:r w:rsidRPr="00C441DA">
        <w:rPr>
          <w:rFonts w:ascii="Arial" w:eastAsia="Arial" w:hAnsi="Arial" w:cs="Arial"/>
          <w:b/>
          <w:sz w:val="21"/>
          <w:szCs w:val="21"/>
        </w:rPr>
        <w:t>DE LA INTEGRACIÓN DE PARTIDAS PRESUPUESTALES</w:t>
      </w:r>
    </w:p>
    <w:p w:rsidR="000D7101" w:rsidRPr="00E27867" w:rsidRDefault="000D7101" w:rsidP="000D7101">
      <w:pPr>
        <w:ind w:right="18"/>
        <w:jc w:val="both"/>
        <w:rPr>
          <w:rFonts w:ascii="Arial" w:hAnsi="Arial" w:cs="Arial"/>
          <w:b/>
          <w:color w:val="A6A6A6"/>
          <w:sz w:val="21"/>
          <w:szCs w:val="21"/>
        </w:rPr>
      </w:pPr>
    </w:p>
    <w:p w:rsidR="000D7101" w:rsidRPr="00E27867" w:rsidRDefault="000D7101" w:rsidP="000D7101">
      <w:pPr>
        <w:ind w:right="18"/>
        <w:jc w:val="both"/>
        <w:rPr>
          <w:rFonts w:ascii="Arial" w:hAnsi="Arial" w:cs="Arial"/>
          <w:b/>
          <w:color w:val="A6A6A6"/>
          <w:sz w:val="21"/>
          <w:szCs w:val="21"/>
        </w:rPr>
      </w:pPr>
    </w:p>
    <w:p w:rsidR="000D7101" w:rsidRPr="00C441DA" w:rsidRDefault="000D7101" w:rsidP="000D7101">
      <w:pPr>
        <w:pStyle w:val="Default"/>
        <w:ind w:right="18"/>
        <w:jc w:val="both"/>
        <w:rPr>
          <w:color w:val="auto"/>
          <w:sz w:val="21"/>
          <w:szCs w:val="21"/>
        </w:rPr>
      </w:pPr>
      <w:r w:rsidRPr="00C441DA">
        <w:rPr>
          <w:b/>
          <w:color w:val="auto"/>
          <w:sz w:val="21"/>
          <w:szCs w:val="21"/>
        </w:rPr>
        <w:t>ARTÍCULO 32.-</w:t>
      </w:r>
      <w:r w:rsidRPr="00C441DA">
        <w:rPr>
          <w:color w:val="auto"/>
          <w:sz w:val="21"/>
          <w:szCs w:val="21"/>
        </w:rPr>
        <w:t xml:space="preserve"> Para el ejercicio del gasto, los capítulos 2000, 3000, 4000, 5000 y 6000, se integran de acuerdo a su ejercicio y operación presupuestal en los grupos siguientes: </w:t>
      </w: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spacing w:after="17"/>
        <w:ind w:right="18"/>
        <w:jc w:val="both"/>
        <w:rPr>
          <w:color w:val="auto"/>
          <w:sz w:val="21"/>
          <w:szCs w:val="21"/>
        </w:rPr>
      </w:pPr>
      <w:r w:rsidRPr="00C441DA">
        <w:rPr>
          <w:color w:val="auto"/>
          <w:sz w:val="21"/>
          <w:szCs w:val="21"/>
        </w:rPr>
        <w:t>I.- Partidas Ordinarias;</w:t>
      </w:r>
    </w:p>
    <w:p w:rsidR="000D7101" w:rsidRPr="00C441DA" w:rsidRDefault="000D7101" w:rsidP="000D7101">
      <w:pPr>
        <w:pStyle w:val="Default"/>
        <w:spacing w:after="17"/>
        <w:ind w:right="18"/>
        <w:jc w:val="both"/>
        <w:rPr>
          <w:color w:val="auto"/>
          <w:sz w:val="21"/>
          <w:szCs w:val="21"/>
        </w:rPr>
      </w:pPr>
    </w:p>
    <w:p w:rsidR="000D7101" w:rsidRPr="00C441DA" w:rsidRDefault="000D7101" w:rsidP="000D7101">
      <w:pPr>
        <w:pStyle w:val="Default"/>
        <w:spacing w:after="17"/>
        <w:ind w:right="18"/>
        <w:jc w:val="both"/>
        <w:rPr>
          <w:color w:val="auto"/>
          <w:sz w:val="21"/>
          <w:szCs w:val="21"/>
        </w:rPr>
      </w:pPr>
      <w:r w:rsidRPr="00C441DA">
        <w:rPr>
          <w:color w:val="auto"/>
          <w:sz w:val="21"/>
          <w:szCs w:val="21"/>
        </w:rPr>
        <w:t>II.- Partidas Especiales;</w:t>
      </w:r>
    </w:p>
    <w:p w:rsidR="000D7101" w:rsidRPr="00C441DA" w:rsidRDefault="000D7101" w:rsidP="000D7101">
      <w:pPr>
        <w:pStyle w:val="Default"/>
        <w:spacing w:after="17"/>
        <w:ind w:right="18"/>
        <w:jc w:val="both"/>
        <w:rPr>
          <w:color w:val="auto"/>
          <w:sz w:val="21"/>
          <w:szCs w:val="21"/>
        </w:rPr>
      </w:pPr>
      <w:r w:rsidRPr="00C441DA">
        <w:rPr>
          <w:color w:val="auto"/>
          <w:sz w:val="21"/>
          <w:szCs w:val="21"/>
        </w:rPr>
        <w:t xml:space="preserve"> </w:t>
      </w:r>
    </w:p>
    <w:p w:rsidR="000D7101" w:rsidRPr="00C441DA" w:rsidRDefault="000D7101" w:rsidP="000D7101">
      <w:pPr>
        <w:pStyle w:val="Default"/>
        <w:ind w:right="18"/>
        <w:jc w:val="both"/>
        <w:rPr>
          <w:color w:val="auto"/>
          <w:sz w:val="21"/>
          <w:szCs w:val="21"/>
        </w:rPr>
      </w:pPr>
      <w:r w:rsidRPr="00C441DA">
        <w:rPr>
          <w:color w:val="auto"/>
          <w:sz w:val="21"/>
          <w:szCs w:val="21"/>
        </w:rPr>
        <w:t xml:space="preserve">III.- Partidas para su ejercicio a través de la Unidad Centralizada de Compras Gubernamentales; </w:t>
      </w:r>
    </w:p>
    <w:p w:rsidR="000D7101" w:rsidRPr="00C441DA" w:rsidRDefault="000D7101" w:rsidP="000D7101">
      <w:pPr>
        <w:pStyle w:val="Default"/>
        <w:ind w:right="18"/>
        <w:jc w:val="both"/>
        <w:rPr>
          <w:color w:val="auto"/>
          <w:sz w:val="21"/>
          <w:szCs w:val="21"/>
        </w:rPr>
      </w:pPr>
      <w:r w:rsidRPr="00C441DA">
        <w:rPr>
          <w:color w:val="auto"/>
          <w:sz w:val="21"/>
          <w:szCs w:val="21"/>
        </w:rPr>
        <w:t xml:space="preserve"> </w:t>
      </w:r>
    </w:p>
    <w:p w:rsidR="000D7101" w:rsidRPr="00C441DA" w:rsidRDefault="000D7101" w:rsidP="000D7101">
      <w:pPr>
        <w:pStyle w:val="Default"/>
        <w:ind w:right="18"/>
        <w:jc w:val="both"/>
        <w:rPr>
          <w:color w:val="auto"/>
          <w:sz w:val="21"/>
          <w:szCs w:val="21"/>
        </w:rPr>
      </w:pPr>
      <w:r w:rsidRPr="00C441DA">
        <w:rPr>
          <w:color w:val="auto"/>
          <w:sz w:val="21"/>
          <w:szCs w:val="21"/>
        </w:rPr>
        <w:t>IV.- Partidas para su ejercicio a través de la Dirección General de Obras Públicas; y</w:t>
      </w: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rFonts w:eastAsia="Arial"/>
          <w:b/>
          <w:color w:val="auto"/>
          <w:sz w:val="21"/>
          <w:szCs w:val="21"/>
        </w:rPr>
      </w:pPr>
      <w:r w:rsidRPr="00C441DA">
        <w:rPr>
          <w:rFonts w:eastAsia="Arial"/>
          <w:color w:val="auto"/>
          <w:sz w:val="21"/>
          <w:szCs w:val="21"/>
        </w:rPr>
        <w:t>V.- Partidas de Transferencias, Asignaciones, Subsidios y Otras Ayudas.</w:t>
      </w:r>
      <w:r w:rsidRPr="00C441DA">
        <w:rPr>
          <w:rFonts w:eastAsia="Arial"/>
          <w:b/>
          <w:color w:val="auto"/>
          <w:sz w:val="21"/>
          <w:szCs w:val="21"/>
        </w:rPr>
        <w:t xml:space="preserve"> </w:t>
      </w:r>
    </w:p>
    <w:p w:rsidR="000D7101" w:rsidRPr="00C441DA" w:rsidRDefault="000D7101" w:rsidP="000D7101">
      <w:pPr>
        <w:pStyle w:val="Default"/>
        <w:ind w:right="18"/>
        <w:rPr>
          <w:color w:val="auto"/>
          <w:sz w:val="21"/>
          <w:szCs w:val="21"/>
        </w:rPr>
      </w:pPr>
    </w:p>
    <w:p w:rsidR="000D7101" w:rsidRPr="00C441DA" w:rsidRDefault="000D7101" w:rsidP="000D7101">
      <w:pPr>
        <w:pStyle w:val="Default"/>
        <w:ind w:right="18"/>
        <w:rPr>
          <w:color w:val="auto"/>
          <w:sz w:val="21"/>
          <w:szCs w:val="21"/>
        </w:rPr>
      </w:pPr>
    </w:p>
    <w:p w:rsidR="000D7101" w:rsidRPr="00C441DA" w:rsidRDefault="000D7101" w:rsidP="000D7101">
      <w:pPr>
        <w:pStyle w:val="Default"/>
        <w:ind w:right="18"/>
        <w:jc w:val="center"/>
        <w:rPr>
          <w:b/>
          <w:color w:val="auto"/>
          <w:sz w:val="21"/>
          <w:szCs w:val="21"/>
        </w:rPr>
      </w:pPr>
      <w:r w:rsidRPr="00C441DA">
        <w:rPr>
          <w:b/>
          <w:color w:val="auto"/>
          <w:sz w:val="21"/>
          <w:szCs w:val="21"/>
        </w:rPr>
        <w:t>CAPÍTULO I</w:t>
      </w:r>
    </w:p>
    <w:p w:rsidR="000D7101" w:rsidRPr="00C441DA" w:rsidRDefault="000D7101" w:rsidP="000D7101">
      <w:pPr>
        <w:pStyle w:val="Default"/>
        <w:ind w:right="18"/>
        <w:jc w:val="center"/>
        <w:rPr>
          <w:b/>
          <w:color w:val="auto"/>
          <w:sz w:val="21"/>
          <w:szCs w:val="21"/>
        </w:rPr>
      </w:pPr>
      <w:r w:rsidRPr="00C441DA">
        <w:rPr>
          <w:b/>
          <w:color w:val="auto"/>
          <w:sz w:val="21"/>
          <w:szCs w:val="21"/>
        </w:rPr>
        <w:t>DE LAS PARTIDAS ORDINARIAS</w:t>
      </w: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color w:val="auto"/>
          <w:sz w:val="21"/>
          <w:szCs w:val="21"/>
        </w:rPr>
      </w:pPr>
      <w:r w:rsidRPr="00C441DA">
        <w:rPr>
          <w:b/>
          <w:color w:val="auto"/>
          <w:sz w:val="21"/>
          <w:szCs w:val="21"/>
        </w:rPr>
        <w:t>ARTÍCULO 33.-</w:t>
      </w:r>
      <w:r w:rsidRPr="00C441DA">
        <w:rPr>
          <w:color w:val="auto"/>
          <w:sz w:val="21"/>
          <w:szCs w:val="21"/>
        </w:rPr>
        <w:t xml:space="preserve"> Las partidas ordinarias son aquellas de proveeduría general, siendo estas las siguientes:</w:t>
      </w:r>
    </w:p>
    <w:p w:rsidR="000D7101" w:rsidRDefault="000D7101" w:rsidP="000D7101">
      <w:pPr>
        <w:pStyle w:val="Default"/>
        <w:ind w:right="18"/>
        <w:jc w:val="both"/>
        <w:rPr>
          <w:color w:val="auto"/>
          <w:sz w:val="20"/>
          <w:szCs w:val="20"/>
        </w:rPr>
      </w:pPr>
    </w:p>
    <w:p w:rsidR="000D7101" w:rsidRDefault="000D7101" w:rsidP="000D7101">
      <w:pPr>
        <w:pStyle w:val="Default"/>
        <w:ind w:right="18"/>
        <w:rPr>
          <w:b/>
          <w:bCs/>
          <w:color w:val="auto"/>
          <w:sz w:val="20"/>
          <w:szCs w:val="20"/>
        </w:rPr>
      </w:pPr>
      <w:r>
        <w:rPr>
          <w:b/>
          <w:bCs/>
          <w:color w:val="auto"/>
          <w:sz w:val="20"/>
          <w:szCs w:val="20"/>
        </w:rPr>
        <w:lastRenderedPageBreak/>
        <w:t xml:space="preserve">Capítulo 2000 Materiales y Suministros </w:t>
      </w:r>
    </w:p>
    <w:p w:rsidR="000D7101" w:rsidRDefault="000D7101" w:rsidP="000D7101">
      <w:pPr>
        <w:pStyle w:val="Default"/>
        <w:ind w:right="18"/>
        <w:rPr>
          <w:color w:val="auto"/>
          <w:sz w:val="20"/>
          <w:szCs w:val="20"/>
        </w:rPr>
      </w:pPr>
      <w:r>
        <w:rPr>
          <w:color w:val="auto"/>
          <w:sz w:val="20"/>
          <w:szCs w:val="20"/>
        </w:rPr>
        <w:t>Partida        Concepto</w:t>
      </w:r>
    </w:p>
    <w:tbl>
      <w:tblPr>
        <w:tblW w:w="17122" w:type="dxa"/>
        <w:tblInd w:w="55" w:type="dxa"/>
        <w:tblLayout w:type="fixed"/>
        <w:tblCellMar>
          <w:left w:w="70" w:type="dxa"/>
          <w:right w:w="70" w:type="dxa"/>
        </w:tblCellMar>
        <w:tblLook w:val="04A0" w:firstRow="1" w:lastRow="0" w:firstColumn="1" w:lastColumn="0" w:noHBand="0" w:noVBand="1"/>
      </w:tblPr>
      <w:tblGrid>
        <w:gridCol w:w="724"/>
        <w:gridCol w:w="2747"/>
        <w:gridCol w:w="5452"/>
        <w:gridCol w:w="8199"/>
      </w:tblGrid>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2111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Materiales, útiles y equipos menores de oficina</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2121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Materiales y útiles de impresión y reproducción</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2131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Material estadístico y geográfico</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2141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 xml:space="preserve">Materiales, útiles y equipos menores de tecnologías de la información y comunicaciones </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2161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 xml:space="preserve">Material de limpieza </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2171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 xml:space="preserve">Materiales y útiles de enseñanza  </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2221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 xml:space="preserve">Productos alimenticios para animales </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2231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 xml:space="preserve">Utensilios para el servicio de alimentación </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2351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 xml:space="preserve">Productos químicos, farmacéuticos y de laboratorio adquiridos como materia prima </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2361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Productos metálicos y a base de minerales no metálicos adquiridos como materia prima</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2391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Otros productos adquiridos como materia prima</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2411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Productos minerales no metálicos</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2431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Cal, yeso y productos de yeso</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2441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Madera y productos de madera</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2451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Vidrio y productos de vidrio</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2461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Material eléctrico y electrónico</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2471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Artículos metálicos para la construcción</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2481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Materiales complementarios</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2491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Otros materiales y Artículos de construcción y reparación</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2511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Productos químicos básicos</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2521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Fertilizantes, pesticidas y otros agroquímicos</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2531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 xml:space="preserve">Medicinas y productos farmacéuticos </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2541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Materiales, accesorios y suministros médicos</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2551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Materiales, accesorios y suministros de laboratorio</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2561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Fibras sintéticas, hules plásticos y derivados</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2591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Otros productos químicos</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2721</w:t>
            </w:r>
          </w:p>
        </w:tc>
        <w:tc>
          <w:tcPr>
            <w:tcW w:w="8199" w:type="dxa"/>
            <w:gridSpan w:val="2"/>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 xml:space="preserve">Prendas de seguridad y protección personal </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2751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Blancos y otros productos textiles, excepto prendas de vestir</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2941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 xml:space="preserve">Refacciones y accesorios menores de equipo de cómputo y tecnologías de la información </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2951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Refacciones y accesorios menores de equipo e instrumental médico y de laboratorio</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2971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Refacciones y accesorios menores de equipo de defensa</w:t>
            </w:r>
          </w:p>
        </w:tc>
      </w:tr>
      <w:tr w:rsidR="000D7101" w:rsidTr="00B74BF5">
        <w:trPr>
          <w:gridAfter w:val="1"/>
          <w:wAfter w:w="8199" w:type="dxa"/>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2981</w:t>
            </w:r>
          </w:p>
        </w:tc>
        <w:tc>
          <w:tcPr>
            <w:tcW w:w="8199"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Refacciones y accesorios menores de maquinaria y otros equipos</w:t>
            </w:r>
          </w:p>
        </w:tc>
      </w:tr>
      <w:tr w:rsidR="000D7101" w:rsidTr="00B74BF5">
        <w:trPr>
          <w:gridAfter w:val="2"/>
          <w:wAfter w:w="13651" w:type="dxa"/>
          <w:trHeight w:val="300"/>
        </w:trPr>
        <w:tc>
          <w:tcPr>
            <w:tcW w:w="3471" w:type="dxa"/>
            <w:gridSpan w:val="2"/>
            <w:tcBorders>
              <w:top w:val="nil"/>
              <w:left w:val="nil"/>
              <w:bottom w:val="nil"/>
              <w:right w:val="nil"/>
            </w:tcBorders>
            <w:shd w:val="clear" w:color="000000" w:fill="FFFFFF"/>
            <w:noWrap/>
            <w:vAlign w:val="bottom"/>
          </w:tcPr>
          <w:p w:rsidR="000D7101" w:rsidRDefault="000D7101" w:rsidP="00B74BF5">
            <w:pPr>
              <w:ind w:right="18"/>
              <w:rPr>
                <w:rFonts w:ascii="Arial" w:hAnsi="Arial" w:cs="Arial"/>
                <w:b/>
                <w:sz w:val="20"/>
                <w:szCs w:val="20"/>
                <w:lang w:eastAsia="es-MX"/>
              </w:rPr>
            </w:pPr>
          </w:p>
        </w:tc>
      </w:tr>
      <w:tr w:rsidR="000D7101" w:rsidTr="00B74BF5">
        <w:trPr>
          <w:trHeight w:val="300"/>
        </w:trPr>
        <w:tc>
          <w:tcPr>
            <w:tcW w:w="8923" w:type="dxa"/>
            <w:gridSpan w:val="3"/>
            <w:tcBorders>
              <w:top w:val="nil"/>
              <w:left w:val="nil"/>
              <w:bottom w:val="nil"/>
              <w:right w:val="nil"/>
            </w:tcBorders>
            <w:shd w:val="clear" w:color="000000" w:fill="FFFFFF"/>
            <w:noWrap/>
            <w:vAlign w:val="bottom"/>
          </w:tcPr>
          <w:p w:rsidR="000D7101" w:rsidRDefault="000D7101" w:rsidP="00B74BF5">
            <w:pPr>
              <w:pStyle w:val="Default"/>
              <w:ind w:right="18"/>
              <w:rPr>
                <w:b/>
                <w:sz w:val="20"/>
                <w:szCs w:val="20"/>
              </w:rPr>
            </w:pPr>
            <w:r>
              <w:rPr>
                <w:b/>
                <w:sz w:val="20"/>
                <w:szCs w:val="20"/>
              </w:rPr>
              <w:t>Capítulo 3000 Servicios Generales</w:t>
            </w:r>
          </w:p>
          <w:p w:rsidR="000D7101" w:rsidRDefault="000D7101" w:rsidP="00B74BF5">
            <w:pPr>
              <w:pStyle w:val="Default"/>
              <w:ind w:right="18"/>
              <w:rPr>
                <w:color w:val="auto"/>
                <w:sz w:val="20"/>
                <w:szCs w:val="20"/>
              </w:rPr>
            </w:pPr>
            <w:r>
              <w:rPr>
                <w:color w:val="auto"/>
                <w:sz w:val="20"/>
                <w:szCs w:val="20"/>
              </w:rPr>
              <w:t>Partida     Concepto</w:t>
            </w:r>
          </w:p>
          <w:p w:rsidR="000D7101" w:rsidRDefault="000D7101" w:rsidP="00B74BF5">
            <w:pPr>
              <w:pStyle w:val="Default"/>
              <w:ind w:right="18"/>
              <w:rPr>
                <w:sz w:val="20"/>
                <w:szCs w:val="20"/>
              </w:rPr>
            </w:pPr>
            <w:r>
              <w:rPr>
                <w:sz w:val="20"/>
                <w:szCs w:val="20"/>
              </w:rPr>
              <w:t xml:space="preserve">3551        Reparación y mantenimiento de equipo de transporte </w:t>
            </w:r>
          </w:p>
        </w:tc>
        <w:tc>
          <w:tcPr>
            <w:tcW w:w="8199" w:type="dxa"/>
            <w:tcBorders>
              <w:top w:val="nil"/>
              <w:left w:val="nil"/>
              <w:bottom w:val="nil"/>
              <w:right w:val="nil"/>
            </w:tcBorders>
            <w:shd w:val="clear" w:color="000000" w:fill="FFFFFF"/>
            <w:vAlign w:val="bottom"/>
          </w:tcPr>
          <w:p w:rsidR="000D7101" w:rsidRDefault="000D7101" w:rsidP="00B74BF5">
            <w:pPr>
              <w:ind w:right="18"/>
              <w:rPr>
                <w:sz w:val="20"/>
                <w:szCs w:val="20"/>
              </w:rPr>
            </w:pPr>
          </w:p>
        </w:tc>
      </w:tr>
    </w:tbl>
    <w:p w:rsidR="000D7101" w:rsidRDefault="000D7101" w:rsidP="000D7101">
      <w:pPr>
        <w:pStyle w:val="Default"/>
        <w:ind w:right="18"/>
        <w:jc w:val="both"/>
        <w:rPr>
          <w:color w:val="auto"/>
          <w:sz w:val="20"/>
          <w:szCs w:val="20"/>
        </w:rPr>
      </w:pPr>
    </w:p>
    <w:p w:rsidR="000D7101" w:rsidRDefault="000D7101" w:rsidP="000D7101">
      <w:pPr>
        <w:pStyle w:val="Default"/>
        <w:ind w:right="18"/>
        <w:jc w:val="both"/>
        <w:rPr>
          <w:color w:val="auto"/>
          <w:sz w:val="20"/>
          <w:szCs w:val="20"/>
        </w:rPr>
      </w:pPr>
    </w:p>
    <w:p w:rsidR="000D7101" w:rsidRPr="00C441DA" w:rsidRDefault="000D7101" w:rsidP="000D7101">
      <w:pPr>
        <w:pStyle w:val="Default"/>
        <w:ind w:right="18"/>
        <w:jc w:val="both"/>
        <w:rPr>
          <w:color w:val="auto"/>
          <w:sz w:val="21"/>
          <w:szCs w:val="21"/>
        </w:rPr>
      </w:pPr>
      <w:r w:rsidRPr="00C441DA">
        <w:rPr>
          <w:b/>
          <w:color w:val="auto"/>
          <w:sz w:val="21"/>
          <w:szCs w:val="21"/>
        </w:rPr>
        <w:t xml:space="preserve">ARTÍCULO 34.- </w:t>
      </w:r>
      <w:r w:rsidRPr="00C441DA">
        <w:rPr>
          <w:color w:val="auto"/>
          <w:sz w:val="21"/>
          <w:szCs w:val="21"/>
        </w:rPr>
        <w:t xml:space="preserve">Para el ejercicio de este grupo de partidas se deberá observar lo siguiente: </w:t>
      </w:r>
    </w:p>
    <w:p w:rsidR="000D7101" w:rsidRPr="00E27867" w:rsidRDefault="000D7101" w:rsidP="000D7101">
      <w:pPr>
        <w:pStyle w:val="Default"/>
        <w:ind w:right="18"/>
        <w:jc w:val="both"/>
        <w:rPr>
          <w:color w:val="365F91"/>
          <w:sz w:val="21"/>
          <w:szCs w:val="21"/>
        </w:rPr>
      </w:pPr>
    </w:p>
    <w:p w:rsidR="000D7101" w:rsidRPr="00C441DA" w:rsidRDefault="000D7101" w:rsidP="000D7101">
      <w:pPr>
        <w:pStyle w:val="Default"/>
        <w:ind w:right="18"/>
        <w:jc w:val="both"/>
        <w:rPr>
          <w:color w:val="auto"/>
          <w:sz w:val="21"/>
          <w:szCs w:val="21"/>
        </w:rPr>
      </w:pPr>
      <w:r w:rsidRPr="00C441DA">
        <w:rPr>
          <w:color w:val="auto"/>
          <w:sz w:val="21"/>
          <w:szCs w:val="21"/>
        </w:rPr>
        <w:lastRenderedPageBreak/>
        <w:t>I. Las adquisiciones en este rubro de partidas las Dependencias, Unidades Ejecutoras del Gasto y Entidades Paramunicipales, ejercerán su gasto en bienes y servicios a través de la Coordinación General de Administración e Innovación Gubernamental a través de la Dirección de Recursos Materiales para que realicen la adquisición de conformidad a la normatividad correspondiente en materia de compras gubernamentales;</w:t>
      </w:r>
    </w:p>
    <w:p w:rsidR="000D7101" w:rsidRPr="00C441DA" w:rsidRDefault="000D7101" w:rsidP="000D7101">
      <w:pPr>
        <w:pStyle w:val="Default"/>
        <w:ind w:right="18"/>
        <w:jc w:val="both"/>
        <w:rPr>
          <w:color w:val="FF0000"/>
          <w:sz w:val="21"/>
          <w:szCs w:val="21"/>
        </w:rPr>
      </w:pPr>
    </w:p>
    <w:p w:rsidR="000D7101" w:rsidRDefault="000D7101" w:rsidP="000D7101">
      <w:pPr>
        <w:pStyle w:val="Default"/>
        <w:ind w:right="18"/>
        <w:jc w:val="both"/>
        <w:rPr>
          <w:color w:val="auto"/>
          <w:sz w:val="20"/>
          <w:szCs w:val="20"/>
        </w:rPr>
      </w:pPr>
      <w:r>
        <w:rPr>
          <w:color w:val="auto"/>
          <w:sz w:val="20"/>
          <w:szCs w:val="20"/>
        </w:rPr>
        <w:t xml:space="preserve">II. En caso que las Dependencias, Unidades Ejecutoras del Gasto y Entidades Paramunicipales, necesiten ejercer su gasto en bienes y servicios a través del fondo revolvente </w:t>
      </w:r>
      <w:r w:rsidRPr="00B81741">
        <w:rPr>
          <w:color w:val="auto"/>
          <w:sz w:val="20"/>
          <w:szCs w:val="20"/>
        </w:rPr>
        <w:t>para evitar la suspensión de sus procesos, se sujetará a lo contemplado en el capítulo de dicho fondo de</w:t>
      </w:r>
      <w:r>
        <w:rPr>
          <w:color w:val="auto"/>
          <w:sz w:val="20"/>
          <w:szCs w:val="20"/>
        </w:rPr>
        <w:t xml:space="preserve"> este Reglamento; y</w:t>
      </w: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color w:val="auto"/>
          <w:sz w:val="21"/>
          <w:szCs w:val="21"/>
        </w:rPr>
      </w:pPr>
      <w:r w:rsidRPr="00C441DA">
        <w:rPr>
          <w:color w:val="auto"/>
          <w:sz w:val="21"/>
          <w:szCs w:val="21"/>
        </w:rPr>
        <w:t>III. No podrán realizarse erogaciones que fracciones o simulen pagos para ejecutar el monto antes mencionado.</w:t>
      </w:r>
    </w:p>
    <w:p w:rsidR="000D7101" w:rsidRPr="00C441DA" w:rsidRDefault="000D7101" w:rsidP="000D7101">
      <w:pPr>
        <w:pStyle w:val="Default"/>
        <w:ind w:right="18"/>
        <w:jc w:val="both"/>
        <w:rPr>
          <w:color w:val="FF0000"/>
          <w:sz w:val="21"/>
          <w:szCs w:val="21"/>
        </w:rPr>
      </w:pP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color w:val="auto"/>
          <w:sz w:val="21"/>
          <w:szCs w:val="21"/>
        </w:rPr>
      </w:pPr>
      <w:r w:rsidRPr="00C441DA">
        <w:rPr>
          <w:b/>
          <w:color w:val="auto"/>
          <w:sz w:val="21"/>
          <w:szCs w:val="21"/>
        </w:rPr>
        <w:t xml:space="preserve">ARTÍCULO 35.- </w:t>
      </w:r>
      <w:r w:rsidRPr="00C441DA">
        <w:rPr>
          <w:color w:val="auto"/>
          <w:sz w:val="21"/>
          <w:szCs w:val="21"/>
        </w:rPr>
        <w:t>Para el ejercicio de este grupo de partidas se las Entidades Paramunicipales deberá observar lo establecido en el artículo anterior, por conducto de sus áreas encargadas de la hacienda de la Entidad Paramunicipal o bajo los convenios en dicha materia, suscritos con el Municipio.</w:t>
      </w: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color w:val="FF0000"/>
          <w:sz w:val="21"/>
          <w:szCs w:val="21"/>
        </w:rPr>
      </w:pPr>
    </w:p>
    <w:p w:rsidR="000D7101" w:rsidRPr="00C441DA" w:rsidRDefault="000D7101" w:rsidP="000D7101">
      <w:pPr>
        <w:pStyle w:val="Default"/>
        <w:ind w:right="18"/>
        <w:jc w:val="center"/>
        <w:rPr>
          <w:b/>
          <w:color w:val="auto"/>
          <w:sz w:val="21"/>
          <w:szCs w:val="21"/>
        </w:rPr>
      </w:pPr>
      <w:r w:rsidRPr="00C441DA">
        <w:rPr>
          <w:b/>
          <w:color w:val="auto"/>
          <w:sz w:val="21"/>
          <w:szCs w:val="21"/>
        </w:rPr>
        <w:t>CAPÍTULO II</w:t>
      </w:r>
    </w:p>
    <w:p w:rsidR="000D7101" w:rsidRPr="00C441DA" w:rsidRDefault="000D7101" w:rsidP="000D7101">
      <w:pPr>
        <w:pStyle w:val="Default"/>
        <w:ind w:right="18"/>
        <w:jc w:val="center"/>
        <w:rPr>
          <w:b/>
          <w:color w:val="FF0000"/>
          <w:sz w:val="21"/>
          <w:szCs w:val="21"/>
        </w:rPr>
      </w:pPr>
      <w:r w:rsidRPr="00C441DA">
        <w:rPr>
          <w:b/>
          <w:color w:val="auto"/>
          <w:sz w:val="21"/>
          <w:szCs w:val="21"/>
        </w:rPr>
        <w:t>DE LAS PARTIDAS ESPECIALES</w:t>
      </w:r>
    </w:p>
    <w:p w:rsidR="000D7101" w:rsidRPr="00C441DA" w:rsidRDefault="000D7101" w:rsidP="000D7101">
      <w:pPr>
        <w:pStyle w:val="Default"/>
        <w:ind w:right="18"/>
        <w:jc w:val="both"/>
        <w:rPr>
          <w:color w:val="FF0000"/>
          <w:sz w:val="21"/>
          <w:szCs w:val="21"/>
        </w:rPr>
      </w:pPr>
    </w:p>
    <w:p w:rsidR="000D7101" w:rsidRPr="00C441DA" w:rsidRDefault="000D7101" w:rsidP="000D7101">
      <w:pPr>
        <w:pStyle w:val="Default"/>
        <w:ind w:right="18"/>
        <w:jc w:val="both"/>
        <w:rPr>
          <w:color w:val="FF0000"/>
          <w:sz w:val="21"/>
          <w:szCs w:val="21"/>
        </w:rPr>
      </w:pPr>
    </w:p>
    <w:p w:rsidR="000D7101" w:rsidRPr="00C441DA" w:rsidRDefault="000D7101" w:rsidP="000D7101">
      <w:pPr>
        <w:pStyle w:val="Default"/>
        <w:ind w:right="18"/>
        <w:jc w:val="both"/>
        <w:rPr>
          <w:color w:val="auto"/>
          <w:sz w:val="21"/>
          <w:szCs w:val="21"/>
        </w:rPr>
      </w:pPr>
      <w:r w:rsidRPr="00C441DA">
        <w:rPr>
          <w:b/>
          <w:color w:val="auto"/>
          <w:sz w:val="21"/>
          <w:szCs w:val="21"/>
        </w:rPr>
        <w:t>ARTÍCULO 36.-</w:t>
      </w:r>
      <w:r w:rsidRPr="00C441DA">
        <w:rPr>
          <w:color w:val="auto"/>
          <w:sz w:val="21"/>
          <w:szCs w:val="21"/>
        </w:rPr>
        <w:t xml:space="preserve"> Las partidas especiales son aquellas que por su naturaleza del evento, complejidad o urgencia, tendrán un procedimiento especial para la autorización de su gasto, siendo estas las siguientes:</w:t>
      </w:r>
    </w:p>
    <w:p w:rsidR="000D7101" w:rsidRDefault="000D7101" w:rsidP="000D7101">
      <w:pPr>
        <w:pStyle w:val="Default"/>
        <w:ind w:right="18"/>
        <w:jc w:val="both"/>
        <w:rPr>
          <w:color w:val="auto"/>
          <w:sz w:val="20"/>
          <w:szCs w:val="20"/>
        </w:rPr>
      </w:pPr>
    </w:p>
    <w:p w:rsidR="000D7101" w:rsidRDefault="000D7101" w:rsidP="000D7101">
      <w:pPr>
        <w:pStyle w:val="Default"/>
        <w:ind w:right="18"/>
        <w:jc w:val="both"/>
        <w:rPr>
          <w:b/>
          <w:bCs/>
          <w:color w:val="auto"/>
          <w:sz w:val="20"/>
          <w:szCs w:val="20"/>
        </w:rPr>
      </w:pPr>
      <w:r>
        <w:rPr>
          <w:b/>
          <w:bCs/>
          <w:color w:val="auto"/>
          <w:sz w:val="20"/>
          <w:szCs w:val="20"/>
        </w:rPr>
        <w:t xml:space="preserve">Capítulo 2000 Materiales y Suministros </w:t>
      </w:r>
    </w:p>
    <w:p w:rsidR="000D7101" w:rsidRDefault="000D7101" w:rsidP="000D7101">
      <w:pPr>
        <w:pStyle w:val="Default"/>
        <w:ind w:right="18"/>
        <w:jc w:val="both"/>
        <w:rPr>
          <w:color w:val="auto"/>
          <w:sz w:val="20"/>
          <w:szCs w:val="20"/>
        </w:rPr>
      </w:pPr>
      <w:r>
        <w:rPr>
          <w:color w:val="auto"/>
          <w:sz w:val="20"/>
          <w:szCs w:val="20"/>
        </w:rPr>
        <w:t>Partida        Concepto</w:t>
      </w:r>
    </w:p>
    <w:tbl>
      <w:tblPr>
        <w:tblW w:w="0" w:type="auto"/>
        <w:tblInd w:w="55" w:type="dxa"/>
        <w:tblLayout w:type="fixed"/>
        <w:tblCellMar>
          <w:left w:w="70" w:type="dxa"/>
          <w:right w:w="70" w:type="dxa"/>
        </w:tblCellMar>
        <w:tblLook w:val="04A0" w:firstRow="1" w:lastRow="0" w:firstColumn="1" w:lastColumn="0" w:noHBand="0" w:noVBand="1"/>
      </w:tblPr>
      <w:tblGrid>
        <w:gridCol w:w="866"/>
        <w:gridCol w:w="8057"/>
      </w:tblGrid>
      <w:tr w:rsidR="000D7101" w:rsidTr="00B74BF5">
        <w:trPr>
          <w:trHeight w:val="300"/>
        </w:trPr>
        <w:tc>
          <w:tcPr>
            <w:tcW w:w="866" w:type="dxa"/>
            <w:tcBorders>
              <w:top w:val="nil"/>
              <w:left w:val="nil"/>
              <w:bottom w:val="nil"/>
              <w:right w:val="nil"/>
            </w:tcBorders>
            <w:shd w:val="clear" w:color="000000" w:fill="FFFFFF"/>
            <w:noWrap/>
            <w:vAlign w:val="bottom"/>
            <w:hideMark/>
          </w:tcPr>
          <w:p w:rsidR="000D7101" w:rsidRDefault="000D7101" w:rsidP="00B74BF5">
            <w:pPr>
              <w:ind w:right="18"/>
              <w:jc w:val="both"/>
              <w:rPr>
                <w:rFonts w:ascii="Arial" w:hAnsi="Arial" w:cs="Arial"/>
                <w:sz w:val="20"/>
                <w:szCs w:val="20"/>
              </w:rPr>
            </w:pPr>
            <w:r>
              <w:rPr>
                <w:rFonts w:ascii="Arial" w:hAnsi="Arial" w:cs="Arial"/>
                <w:sz w:val="20"/>
                <w:szCs w:val="20"/>
              </w:rPr>
              <w:t>2181</w:t>
            </w:r>
          </w:p>
        </w:tc>
        <w:tc>
          <w:tcPr>
            <w:tcW w:w="8057" w:type="dxa"/>
            <w:tcBorders>
              <w:top w:val="nil"/>
              <w:left w:val="nil"/>
              <w:bottom w:val="nil"/>
              <w:right w:val="nil"/>
            </w:tcBorders>
            <w:shd w:val="clear" w:color="000000" w:fill="FFFFFF"/>
            <w:noWrap/>
            <w:vAlign w:val="bottom"/>
            <w:hideMark/>
          </w:tcPr>
          <w:p w:rsidR="000D7101" w:rsidRDefault="000D7101" w:rsidP="00B74BF5">
            <w:pPr>
              <w:ind w:right="18"/>
              <w:jc w:val="both"/>
              <w:rPr>
                <w:rFonts w:ascii="Arial" w:hAnsi="Arial" w:cs="Arial"/>
                <w:sz w:val="20"/>
                <w:szCs w:val="20"/>
              </w:rPr>
            </w:pPr>
            <w:r>
              <w:rPr>
                <w:rFonts w:ascii="Arial" w:hAnsi="Arial" w:cs="Arial"/>
                <w:sz w:val="20"/>
                <w:szCs w:val="20"/>
              </w:rPr>
              <w:t>Materiales para el registro e identificación de bienes y personas</w:t>
            </w:r>
          </w:p>
        </w:tc>
      </w:tr>
      <w:tr w:rsidR="000D7101" w:rsidTr="00B74BF5">
        <w:trPr>
          <w:trHeight w:val="300"/>
        </w:trPr>
        <w:tc>
          <w:tcPr>
            <w:tcW w:w="866" w:type="dxa"/>
            <w:tcBorders>
              <w:top w:val="nil"/>
              <w:left w:val="nil"/>
              <w:bottom w:val="nil"/>
              <w:right w:val="nil"/>
            </w:tcBorders>
            <w:shd w:val="clear" w:color="000000" w:fill="FFFFFF"/>
            <w:noWrap/>
            <w:vAlign w:val="bottom"/>
            <w:hideMark/>
          </w:tcPr>
          <w:p w:rsidR="000D7101" w:rsidRDefault="000D7101" w:rsidP="00B74BF5">
            <w:pPr>
              <w:ind w:right="18"/>
              <w:jc w:val="both"/>
              <w:rPr>
                <w:rFonts w:ascii="Arial" w:hAnsi="Arial" w:cs="Arial"/>
                <w:sz w:val="20"/>
                <w:szCs w:val="20"/>
              </w:rPr>
            </w:pPr>
            <w:r>
              <w:rPr>
                <w:rFonts w:ascii="Arial" w:hAnsi="Arial" w:cs="Arial"/>
                <w:sz w:val="20"/>
                <w:szCs w:val="20"/>
              </w:rPr>
              <w:t>2211</w:t>
            </w:r>
          </w:p>
        </w:tc>
        <w:tc>
          <w:tcPr>
            <w:tcW w:w="8057" w:type="dxa"/>
            <w:tcBorders>
              <w:top w:val="nil"/>
              <w:left w:val="nil"/>
              <w:bottom w:val="nil"/>
              <w:right w:val="nil"/>
            </w:tcBorders>
            <w:shd w:val="clear" w:color="000000" w:fill="FFFFFF"/>
            <w:noWrap/>
            <w:vAlign w:val="bottom"/>
            <w:hideMark/>
          </w:tcPr>
          <w:p w:rsidR="000D7101" w:rsidRDefault="000D7101" w:rsidP="00B74BF5">
            <w:pPr>
              <w:ind w:right="18"/>
              <w:jc w:val="both"/>
              <w:rPr>
                <w:rFonts w:ascii="Arial" w:hAnsi="Arial" w:cs="Arial"/>
                <w:sz w:val="20"/>
                <w:szCs w:val="20"/>
              </w:rPr>
            </w:pPr>
            <w:r>
              <w:rPr>
                <w:rFonts w:ascii="Arial" w:hAnsi="Arial" w:cs="Arial"/>
                <w:sz w:val="20"/>
                <w:szCs w:val="20"/>
              </w:rPr>
              <w:t xml:space="preserve">Productos alimenticios para personas  </w:t>
            </w:r>
          </w:p>
        </w:tc>
      </w:tr>
    </w:tbl>
    <w:p w:rsidR="000D7101" w:rsidRDefault="000D7101" w:rsidP="000D7101">
      <w:pPr>
        <w:pStyle w:val="Default"/>
        <w:ind w:right="18"/>
        <w:jc w:val="both"/>
        <w:rPr>
          <w:b/>
          <w:bCs/>
          <w:color w:val="auto"/>
          <w:sz w:val="20"/>
          <w:szCs w:val="20"/>
        </w:rPr>
      </w:pPr>
    </w:p>
    <w:p w:rsidR="000D7101" w:rsidRDefault="000D7101" w:rsidP="000D7101">
      <w:pPr>
        <w:pStyle w:val="Default"/>
        <w:rPr>
          <w:b/>
          <w:bCs/>
          <w:color w:val="auto"/>
          <w:sz w:val="20"/>
          <w:szCs w:val="20"/>
        </w:rPr>
      </w:pPr>
      <w:r>
        <w:rPr>
          <w:b/>
          <w:bCs/>
          <w:color w:val="auto"/>
          <w:sz w:val="20"/>
          <w:szCs w:val="20"/>
        </w:rPr>
        <w:t>Capítulo 3000 Servicios Generales</w:t>
      </w:r>
    </w:p>
    <w:tbl>
      <w:tblPr>
        <w:tblW w:w="0" w:type="auto"/>
        <w:tblInd w:w="55" w:type="dxa"/>
        <w:tblCellMar>
          <w:left w:w="70" w:type="dxa"/>
          <w:right w:w="70" w:type="dxa"/>
        </w:tblCellMar>
        <w:tblLook w:val="04A0" w:firstRow="1" w:lastRow="0" w:firstColumn="1" w:lastColumn="0" w:noHBand="0" w:noVBand="1"/>
      </w:tblPr>
      <w:tblGrid>
        <w:gridCol w:w="690"/>
        <w:gridCol w:w="34"/>
        <w:gridCol w:w="7655"/>
        <w:gridCol w:w="34"/>
      </w:tblGrid>
      <w:tr w:rsidR="000D7101" w:rsidTr="00B74BF5">
        <w:trPr>
          <w:trHeight w:val="300"/>
        </w:trPr>
        <w:tc>
          <w:tcPr>
            <w:tcW w:w="0" w:type="auto"/>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3121</w:t>
            </w:r>
          </w:p>
        </w:tc>
        <w:tc>
          <w:tcPr>
            <w:tcW w:w="0" w:type="auto"/>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 xml:space="preserve">Gas </w:t>
            </w:r>
          </w:p>
        </w:tc>
      </w:tr>
      <w:tr w:rsidR="000D7101" w:rsidTr="00B74BF5">
        <w:trPr>
          <w:trHeight w:val="300"/>
        </w:trPr>
        <w:tc>
          <w:tcPr>
            <w:tcW w:w="0" w:type="auto"/>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3181</w:t>
            </w:r>
          </w:p>
        </w:tc>
        <w:tc>
          <w:tcPr>
            <w:tcW w:w="0" w:type="auto"/>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postales y telegráficos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3251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Arrendamiento de equipo de transporte</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3291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Otros arrendamientos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3311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legales, de contabilidad, auditoría y relacionados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3321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de diseño, arquitectura, ingeniería y actividades relacionadas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3331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de consultoría administrativa, procesos, técnica y en tecnologías de la información</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3341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de capacitación</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3351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de investigación científica y desarrollo</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3361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de apoyo administrativo, fotocopiado e impresión</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3371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de protección y seguridad</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lastRenderedPageBreak/>
              <w:t>3391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profesionales, científicos y técnicos integrales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3411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financieros y bancarios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3421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de cobranza, investigación crediticia y similar</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3431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de recaudación, traslado y custodia de valores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3471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Fletes y maniobras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3491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financieros, bancarios y comerciales integrales</w:t>
            </w:r>
          </w:p>
        </w:tc>
      </w:tr>
      <w:tr w:rsidR="000D7101" w:rsidTr="00B74BF5">
        <w:trPr>
          <w:trHeight w:val="300"/>
        </w:trPr>
        <w:tc>
          <w:tcPr>
            <w:tcW w:w="690" w:type="dxa"/>
            <w:tcBorders>
              <w:top w:val="nil"/>
              <w:left w:val="nil"/>
              <w:bottom w:val="nil"/>
              <w:right w:val="nil"/>
            </w:tcBorders>
            <w:shd w:val="clear" w:color="000000" w:fill="FFFFFF"/>
            <w:noWrap/>
            <w:vAlign w:val="bottom"/>
          </w:tcPr>
          <w:p w:rsidR="000D7101" w:rsidRDefault="000D7101" w:rsidP="00B74BF5">
            <w:pPr>
              <w:jc w:val="center"/>
              <w:rPr>
                <w:rFonts w:ascii="Arial" w:hAnsi="Arial" w:cs="Arial"/>
                <w:sz w:val="20"/>
                <w:szCs w:val="20"/>
              </w:rPr>
            </w:pPr>
            <w:r>
              <w:rPr>
                <w:rFonts w:ascii="Arial" w:hAnsi="Arial" w:cs="Arial"/>
                <w:sz w:val="20"/>
                <w:szCs w:val="20"/>
              </w:rPr>
              <w:t>3521</w:t>
            </w:r>
          </w:p>
          <w:p w:rsidR="000D7101" w:rsidRDefault="000D7101" w:rsidP="00B74BF5">
            <w:pPr>
              <w:jc w:val="center"/>
              <w:rPr>
                <w:rFonts w:ascii="Arial" w:hAnsi="Arial" w:cs="Arial"/>
                <w:sz w:val="20"/>
                <w:szCs w:val="20"/>
              </w:rPr>
            </w:pPr>
          </w:p>
        </w:tc>
        <w:tc>
          <w:tcPr>
            <w:tcW w:w="7723" w:type="dxa"/>
            <w:gridSpan w:val="3"/>
            <w:tcBorders>
              <w:top w:val="nil"/>
              <w:left w:val="nil"/>
              <w:bottom w:val="nil"/>
              <w:right w:val="nil"/>
            </w:tcBorders>
            <w:shd w:val="clear" w:color="000000" w:fill="FFFFFF"/>
            <w:noWrap/>
            <w:vAlign w:val="bottom"/>
          </w:tcPr>
          <w:p w:rsidR="000D7101" w:rsidRDefault="000D7101" w:rsidP="00B74BF5">
            <w:pPr>
              <w:rPr>
                <w:rFonts w:ascii="Arial" w:hAnsi="Arial" w:cs="Arial"/>
                <w:sz w:val="20"/>
                <w:szCs w:val="20"/>
              </w:rPr>
            </w:pPr>
            <w:r>
              <w:rPr>
                <w:rFonts w:ascii="Arial" w:hAnsi="Arial" w:cs="Arial"/>
                <w:sz w:val="20"/>
                <w:szCs w:val="20"/>
              </w:rPr>
              <w:t xml:space="preserve">Instalación, reparación y mantenimiento de mobiliario y equipo de administración, educacional y recreativo </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 xml:space="preserve"> 3561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 xml:space="preserve">Reparación y mantenimiento de equipo de defensa y seguridad </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 xml:space="preserve"> 3571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 xml:space="preserve">Instalación, reparación y mantenimiento de maquinaria, otros equipos y herramienta  </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 xml:space="preserve"> 3591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 xml:space="preserve">Servicios de jardinería y fumigación  </w:t>
            </w:r>
          </w:p>
        </w:tc>
      </w:tr>
      <w:tr w:rsidR="000D7101" w:rsidTr="00B74BF5">
        <w:trPr>
          <w:trHeight w:val="300"/>
        </w:trPr>
        <w:tc>
          <w:tcPr>
            <w:tcW w:w="690" w:type="dxa"/>
            <w:tcBorders>
              <w:top w:val="nil"/>
              <w:left w:val="nil"/>
              <w:bottom w:val="nil"/>
              <w:right w:val="nil"/>
            </w:tcBorders>
            <w:shd w:val="clear" w:color="000000" w:fill="FFFFFF"/>
            <w:noWrap/>
            <w:vAlign w:val="bottom"/>
          </w:tcPr>
          <w:p w:rsidR="000D7101" w:rsidRDefault="000D7101" w:rsidP="00B74BF5">
            <w:pPr>
              <w:rPr>
                <w:rFonts w:ascii="Arial" w:hAnsi="Arial" w:cs="Arial"/>
                <w:sz w:val="20"/>
                <w:szCs w:val="20"/>
              </w:rPr>
            </w:pPr>
            <w:r>
              <w:rPr>
                <w:rFonts w:ascii="Arial" w:hAnsi="Arial" w:cs="Arial"/>
                <w:sz w:val="20"/>
                <w:szCs w:val="20"/>
              </w:rPr>
              <w:t xml:space="preserve"> 3611</w:t>
            </w:r>
          </w:p>
          <w:p w:rsidR="000D7101" w:rsidRDefault="000D7101" w:rsidP="00B74BF5">
            <w:pPr>
              <w:rPr>
                <w:rFonts w:ascii="Arial" w:hAnsi="Arial" w:cs="Arial"/>
                <w:sz w:val="20"/>
                <w:szCs w:val="20"/>
              </w:rPr>
            </w:pPr>
          </w:p>
        </w:tc>
        <w:tc>
          <w:tcPr>
            <w:tcW w:w="7723" w:type="dxa"/>
            <w:gridSpan w:val="3"/>
            <w:tcBorders>
              <w:top w:val="nil"/>
              <w:left w:val="nil"/>
              <w:bottom w:val="nil"/>
              <w:right w:val="nil"/>
            </w:tcBorders>
            <w:shd w:val="clear" w:color="000000" w:fill="FFFFFF"/>
            <w:noWrap/>
            <w:vAlign w:val="bottom"/>
          </w:tcPr>
          <w:p w:rsidR="000D7101" w:rsidRDefault="000D7101" w:rsidP="00B74BF5">
            <w:pPr>
              <w:rPr>
                <w:rFonts w:ascii="Arial" w:hAnsi="Arial" w:cs="Arial"/>
                <w:sz w:val="20"/>
                <w:szCs w:val="20"/>
              </w:rPr>
            </w:pPr>
            <w:r>
              <w:rPr>
                <w:rFonts w:ascii="Arial" w:hAnsi="Arial" w:cs="Arial"/>
                <w:sz w:val="20"/>
                <w:szCs w:val="20"/>
              </w:rPr>
              <w:t>Difusión por radio, televisión y otros medios de mensajes sobre programas y actividades gubernamentales</w:t>
            </w:r>
          </w:p>
        </w:tc>
      </w:tr>
      <w:tr w:rsidR="000D7101" w:rsidTr="00B74BF5">
        <w:trPr>
          <w:trHeight w:val="300"/>
        </w:trPr>
        <w:tc>
          <w:tcPr>
            <w:tcW w:w="690" w:type="dxa"/>
            <w:tcBorders>
              <w:top w:val="nil"/>
              <w:left w:val="nil"/>
              <w:bottom w:val="nil"/>
              <w:right w:val="nil"/>
            </w:tcBorders>
            <w:shd w:val="clear" w:color="000000" w:fill="FFFFFF"/>
            <w:noWrap/>
            <w:vAlign w:val="bottom"/>
          </w:tcPr>
          <w:p w:rsidR="000D7101" w:rsidRDefault="000D7101" w:rsidP="00B74BF5">
            <w:pPr>
              <w:jc w:val="center"/>
              <w:rPr>
                <w:rFonts w:ascii="Arial" w:hAnsi="Arial" w:cs="Arial"/>
                <w:sz w:val="20"/>
                <w:szCs w:val="20"/>
              </w:rPr>
            </w:pPr>
            <w:r>
              <w:rPr>
                <w:rFonts w:ascii="Arial" w:hAnsi="Arial" w:cs="Arial"/>
                <w:sz w:val="20"/>
                <w:szCs w:val="20"/>
              </w:rPr>
              <w:t xml:space="preserve"> 3631</w:t>
            </w:r>
          </w:p>
        </w:tc>
        <w:tc>
          <w:tcPr>
            <w:tcW w:w="7723" w:type="dxa"/>
            <w:gridSpan w:val="3"/>
            <w:tcBorders>
              <w:top w:val="nil"/>
              <w:left w:val="nil"/>
              <w:bottom w:val="nil"/>
              <w:right w:val="nil"/>
            </w:tcBorders>
            <w:shd w:val="clear" w:color="000000" w:fill="FFFFFF"/>
            <w:noWrap/>
            <w:vAlign w:val="bottom"/>
          </w:tcPr>
          <w:p w:rsidR="000D7101" w:rsidRDefault="000D7101" w:rsidP="00B74BF5">
            <w:pPr>
              <w:rPr>
                <w:rFonts w:ascii="Arial" w:hAnsi="Arial" w:cs="Arial"/>
                <w:sz w:val="20"/>
                <w:szCs w:val="20"/>
              </w:rPr>
            </w:pPr>
            <w:r>
              <w:rPr>
                <w:rFonts w:ascii="Arial" w:hAnsi="Arial" w:cs="Arial"/>
                <w:sz w:val="20"/>
                <w:szCs w:val="20"/>
              </w:rPr>
              <w:t>Servicios de creatividad, preproducción y producción de publicidad, excepto internet</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3651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 xml:space="preserve">Servicios de la industria fílmica, del sonido y del video </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3661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 xml:space="preserve">Servicio de creación y difusión de contenido exclusivamente a  través de internet </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3711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Pasajes aéreos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3721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Pasajes terrestres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3751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Viáticos en el país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3761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Viáticos en el extranjero</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3791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Otros servicios de traslado y hospedaje</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3811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Gastos de ceremonial</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3821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Gastos de orden  social y cultural</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3831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Congresos y convenciones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3911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Servicios funerarios y de cementerios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3921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Reintegro de Remanentes de Recursos Federales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3922</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Impuestos y derechos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3941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Sentencias y resoluciones por autoridad competente</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3951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Penas, multas, accesorios y actualizaciones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3961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Otros gastos por responsabilidades</w:t>
            </w:r>
          </w:p>
        </w:tc>
      </w:tr>
      <w:tr w:rsidR="000D7101" w:rsidTr="00B74BF5">
        <w:trPr>
          <w:trHeight w:val="300"/>
        </w:trPr>
        <w:tc>
          <w:tcPr>
            <w:tcW w:w="690" w:type="dxa"/>
            <w:tcBorders>
              <w:top w:val="nil"/>
              <w:left w:val="nil"/>
              <w:bottom w:val="nil"/>
              <w:right w:val="nil"/>
            </w:tcBorders>
            <w:shd w:val="clear" w:color="000000" w:fill="FFFFFF"/>
            <w:noWrap/>
            <w:vAlign w:val="bottom"/>
            <w:hideMark/>
          </w:tcPr>
          <w:p w:rsidR="000D7101" w:rsidRDefault="000D7101" w:rsidP="00B74BF5">
            <w:pPr>
              <w:jc w:val="center"/>
              <w:rPr>
                <w:rFonts w:ascii="Arial" w:hAnsi="Arial" w:cs="Arial"/>
                <w:sz w:val="20"/>
                <w:szCs w:val="20"/>
              </w:rPr>
            </w:pPr>
            <w:r>
              <w:rPr>
                <w:rFonts w:ascii="Arial" w:hAnsi="Arial" w:cs="Arial"/>
                <w:sz w:val="20"/>
                <w:szCs w:val="20"/>
              </w:rPr>
              <w:t>3991</w:t>
            </w:r>
          </w:p>
        </w:tc>
        <w:tc>
          <w:tcPr>
            <w:tcW w:w="7723" w:type="dxa"/>
            <w:gridSpan w:val="3"/>
            <w:tcBorders>
              <w:top w:val="nil"/>
              <w:left w:val="nil"/>
              <w:bottom w:val="nil"/>
              <w:right w:val="nil"/>
            </w:tcBorders>
            <w:shd w:val="clear" w:color="000000" w:fill="FFFFFF"/>
            <w:noWrap/>
            <w:vAlign w:val="bottom"/>
            <w:hideMark/>
          </w:tcPr>
          <w:p w:rsidR="000D7101" w:rsidRDefault="000D7101" w:rsidP="00B74BF5">
            <w:pPr>
              <w:rPr>
                <w:rFonts w:ascii="Arial" w:hAnsi="Arial" w:cs="Arial"/>
                <w:sz w:val="20"/>
                <w:szCs w:val="20"/>
              </w:rPr>
            </w:pPr>
            <w:r>
              <w:rPr>
                <w:rFonts w:ascii="Arial" w:hAnsi="Arial" w:cs="Arial"/>
                <w:sz w:val="20"/>
                <w:szCs w:val="20"/>
              </w:rPr>
              <w:t>Asignaciones destinadas a trabajos de protección civil u ordenamiento territorial</w:t>
            </w:r>
          </w:p>
        </w:tc>
      </w:tr>
      <w:tr w:rsidR="000D7101" w:rsidTr="00B74BF5">
        <w:trPr>
          <w:gridAfter w:val="1"/>
          <w:wAfter w:w="34" w:type="dxa"/>
          <w:trHeight w:val="300"/>
        </w:trPr>
        <w:tc>
          <w:tcPr>
            <w:tcW w:w="724" w:type="dxa"/>
            <w:gridSpan w:val="2"/>
            <w:tcBorders>
              <w:top w:val="nil"/>
              <w:left w:val="nil"/>
              <w:bottom w:val="nil"/>
              <w:right w:val="nil"/>
            </w:tcBorders>
            <w:shd w:val="clear" w:color="000000" w:fill="FFFFFF"/>
            <w:noWrap/>
            <w:vAlign w:val="bottom"/>
          </w:tcPr>
          <w:p w:rsidR="000D7101" w:rsidRDefault="000D7101" w:rsidP="00B74BF5">
            <w:pPr>
              <w:spacing w:line="276" w:lineRule="auto"/>
              <w:rPr>
                <w:rFonts w:ascii="Arial" w:hAnsi="Arial" w:cs="Arial"/>
                <w:sz w:val="20"/>
                <w:szCs w:val="20"/>
              </w:rPr>
            </w:pPr>
          </w:p>
          <w:p w:rsidR="000D7101" w:rsidRDefault="000D7101" w:rsidP="00B74BF5">
            <w:pPr>
              <w:spacing w:line="276" w:lineRule="auto"/>
              <w:rPr>
                <w:rFonts w:ascii="Arial" w:hAnsi="Arial" w:cs="Arial"/>
                <w:sz w:val="20"/>
                <w:szCs w:val="20"/>
              </w:rPr>
            </w:pPr>
          </w:p>
        </w:tc>
        <w:tc>
          <w:tcPr>
            <w:tcW w:w="7655" w:type="dxa"/>
            <w:tcBorders>
              <w:top w:val="nil"/>
              <w:left w:val="nil"/>
              <w:bottom w:val="nil"/>
              <w:right w:val="nil"/>
            </w:tcBorders>
            <w:shd w:val="clear" w:color="000000" w:fill="FFFFFF"/>
            <w:noWrap/>
            <w:vAlign w:val="bottom"/>
          </w:tcPr>
          <w:p w:rsidR="000D7101" w:rsidRDefault="000D7101" w:rsidP="00B74BF5">
            <w:pPr>
              <w:ind w:right="18"/>
              <w:jc w:val="both"/>
              <w:rPr>
                <w:rFonts w:ascii="Arial" w:hAnsi="Arial" w:cs="Arial"/>
                <w:sz w:val="20"/>
                <w:szCs w:val="20"/>
              </w:rPr>
            </w:pPr>
          </w:p>
        </w:tc>
      </w:tr>
    </w:tbl>
    <w:p w:rsidR="000D7101" w:rsidRDefault="000D7101" w:rsidP="000D7101">
      <w:pPr>
        <w:pStyle w:val="Default"/>
        <w:ind w:right="18"/>
        <w:jc w:val="both"/>
        <w:rPr>
          <w:b/>
          <w:bCs/>
          <w:color w:val="auto"/>
          <w:sz w:val="20"/>
          <w:szCs w:val="20"/>
        </w:rPr>
      </w:pPr>
      <w:r>
        <w:rPr>
          <w:b/>
          <w:bCs/>
          <w:color w:val="auto"/>
          <w:sz w:val="20"/>
          <w:szCs w:val="20"/>
        </w:rPr>
        <w:t>Capítulo 5000 Bienes Muebles, Inmuebles e Intangibles</w:t>
      </w:r>
    </w:p>
    <w:p w:rsidR="000D7101" w:rsidRDefault="000D7101" w:rsidP="000D7101">
      <w:pPr>
        <w:pStyle w:val="Default"/>
        <w:ind w:right="18"/>
        <w:jc w:val="both"/>
        <w:rPr>
          <w:color w:val="auto"/>
          <w:sz w:val="20"/>
          <w:szCs w:val="20"/>
        </w:rPr>
      </w:pPr>
      <w:r>
        <w:rPr>
          <w:b/>
          <w:bCs/>
          <w:color w:val="auto"/>
          <w:sz w:val="20"/>
          <w:szCs w:val="20"/>
        </w:rPr>
        <w:t xml:space="preserve"> </w:t>
      </w:r>
      <w:r>
        <w:rPr>
          <w:color w:val="auto"/>
          <w:sz w:val="20"/>
          <w:szCs w:val="20"/>
        </w:rPr>
        <w:t>Partida        Concepto</w:t>
      </w:r>
    </w:p>
    <w:tbl>
      <w:tblPr>
        <w:tblW w:w="8946" w:type="dxa"/>
        <w:tblInd w:w="55" w:type="dxa"/>
        <w:tblLayout w:type="fixed"/>
        <w:tblCellMar>
          <w:left w:w="70" w:type="dxa"/>
          <w:right w:w="70" w:type="dxa"/>
        </w:tblCellMar>
        <w:tblLook w:val="04A0" w:firstRow="1" w:lastRow="0" w:firstColumn="1" w:lastColumn="0" w:noHBand="0" w:noVBand="1"/>
      </w:tblPr>
      <w:tblGrid>
        <w:gridCol w:w="724"/>
        <w:gridCol w:w="8222"/>
      </w:tblGrid>
      <w:tr w:rsidR="000D7101" w:rsidTr="00B74BF5">
        <w:trPr>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both"/>
              <w:rPr>
                <w:rFonts w:ascii="Arial" w:hAnsi="Arial" w:cs="Arial"/>
                <w:sz w:val="20"/>
                <w:szCs w:val="20"/>
              </w:rPr>
            </w:pPr>
            <w:r>
              <w:rPr>
                <w:rFonts w:ascii="Arial" w:hAnsi="Arial" w:cs="Arial"/>
                <w:sz w:val="20"/>
                <w:szCs w:val="20"/>
              </w:rPr>
              <w:t>5511</w:t>
            </w:r>
          </w:p>
        </w:tc>
        <w:tc>
          <w:tcPr>
            <w:tcW w:w="8222" w:type="dxa"/>
            <w:tcBorders>
              <w:top w:val="nil"/>
              <w:left w:val="nil"/>
              <w:bottom w:val="nil"/>
              <w:right w:val="nil"/>
            </w:tcBorders>
            <w:shd w:val="clear" w:color="000000" w:fill="FFFFFF"/>
            <w:noWrap/>
            <w:vAlign w:val="bottom"/>
          </w:tcPr>
          <w:p w:rsidR="000D7101" w:rsidRDefault="000D7101" w:rsidP="00B74BF5">
            <w:pPr>
              <w:ind w:right="18"/>
              <w:jc w:val="both"/>
              <w:rPr>
                <w:rFonts w:ascii="Arial" w:hAnsi="Arial" w:cs="Arial"/>
                <w:sz w:val="20"/>
                <w:szCs w:val="20"/>
              </w:rPr>
            </w:pPr>
            <w:r>
              <w:rPr>
                <w:rFonts w:ascii="Arial" w:hAnsi="Arial" w:cs="Arial"/>
                <w:sz w:val="20"/>
                <w:szCs w:val="20"/>
              </w:rPr>
              <w:t>Equipo de defensa y seguridad especial</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both"/>
              <w:rPr>
                <w:rFonts w:ascii="Arial" w:hAnsi="Arial" w:cs="Arial"/>
                <w:sz w:val="20"/>
                <w:szCs w:val="20"/>
              </w:rPr>
            </w:pPr>
            <w:r>
              <w:rPr>
                <w:rFonts w:ascii="Arial" w:hAnsi="Arial" w:cs="Arial"/>
                <w:sz w:val="20"/>
                <w:szCs w:val="20"/>
              </w:rPr>
              <w:t>5731</w:t>
            </w:r>
          </w:p>
        </w:tc>
        <w:tc>
          <w:tcPr>
            <w:tcW w:w="8222" w:type="dxa"/>
            <w:tcBorders>
              <w:top w:val="nil"/>
              <w:left w:val="nil"/>
              <w:bottom w:val="nil"/>
              <w:right w:val="nil"/>
            </w:tcBorders>
            <w:shd w:val="clear" w:color="000000" w:fill="FFFFFF"/>
            <w:noWrap/>
            <w:vAlign w:val="bottom"/>
            <w:hideMark/>
          </w:tcPr>
          <w:p w:rsidR="000D7101" w:rsidRDefault="000D7101" w:rsidP="00B74BF5">
            <w:pPr>
              <w:ind w:right="18"/>
              <w:jc w:val="both"/>
              <w:rPr>
                <w:rFonts w:ascii="Arial" w:hAnsi="Arial" w:cs="Arial"/>
                <w:sz w:val="20"/>
                <w:szCs w:val="20"/>
              </w:rPr>
            </w:pPr>
            <w:r>
              <w:rPr>
                <w:rFonts w:ascii="Arial" w:hAnsi="Arial" w:cs="Arial"/>
                <w:sz w:val="20"/>
                <w:szCs w:val="20"/>
              </w:rPr>
              <w:t>Aves</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both"/>
              <w:rPr>
                <w:rFonts w:ascii="Arial" w:hAnsi="Arial" w:cs="Arial"/>
                <w:sz w:val="20"/>
                <w:szCs w:val="20"/>
              </w:rPr>
            </w:pPr>
            <w:r>
              <w:rPr>
                <w:rFonts w:ascii="Arial" w:hAnsi="Arial" w:cs="Arial"/>
                <w:sz w:val="20"/>
                <w:szCs w:val="20"/>
              </w:rPr>
              <w:t>5781</w:t>
            </w:r>
          </w:p>
        </w:tc>
        <w:tc>
          <w:tcPr>
            <w:tcW w:w="8222" w:type="dxa"/>
            <w:tcBorders>
              <w:top w:val="nil"/>
              <w:left w:val="nil"/>
              <w:bottom w:val="nil"/>
              <w:right w:val="nil"/>
            </w:tcBorders>
            <w:shd w:val="clear" w:color="000000" w:fill="FFFFFF"/>
            <w:noWrap/>
            <w:vAlign w:val="bottom"/>
            <w:hideMark/>
          </w:tcPr>
          <w:p w:rsidR="000D7101" w:rsidRDefault="000D7101" w:rsidP="00B74BF5">
            <w:pPr>
              <w:ind w:right="18"/>
              <w:jc w:val="both"/>
              <w:rPr>
                <w:rFonts w:ascii="Arial" w:hAnsi="Arial" w:cs="Arial"/>
                <w:sz w:val="20"/>
                <w:szCs w:val="20"/>
              </w:rPr>
            </w:pPr>
            <w:r>
              <w:rPr>
                <w:rFonts w:ascii="Arial" w:hAnsi="Arial" w:cs="Arial"/>
                <w:sz w:val="20"/>
                <w:szCs w:val="20"/>
              </w:rPr>
              <w:t>Árboles y plantas</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both"/>
              <w:rPr>
                <w:rFonts w:ascii="Arial" w:hAnsi="Arial" w:cs="Arial"/>
                <w:sz w:val="20"/>
                <w:szCs w:val="20"/>
              </w:rPr>
            </w:pPr>
            <w:r>
              <w:rPr>
                <w:rFonts w:ascii="Arial" w:hAnsi="Arial" w:cs="Arial"/>
                <w:sz w:val="20"/>
                <w:szCs w:val="20"/>
              </w:rPr>
              <w:t>5811</w:t>
            </w:r>
          </w:p>
        </w:tc>
        <w:tc>
          <w:tcPr>
            <w:tcW w:w="8222" w:type="dxa"/>
            <w:tcBorders>
              <w:top w:val="nil"/>
              <w:left w:val="nil"/>
              <w:bottom w:val="nil"/>
              <w:right w:val="nil"/>
            </w:tcBorders>
            <w:shd w:val="clear" w:color="000000" w:fill="FFFFFF"/>
            <w:noWrap/>
            <w:vAlign w:val="bottom"/>
            <w:hideMark/>
          </w:tcPr>
          <w:p w:rsidR="000D7101" w:rsidRDefault="000D7101" w:rsidP="00B74BF5">
            <w:pPr>
              <w:ind w:right="18"/>
              <w:jc w:val="both"/>
              <w:rPr>
                <w:rFonts w:ascii="Arial" w:hAnsi="Arial" w:cs="Arial"/>
                <w:sz w:val="20"/>
                <w:szCs w:val="20"/>
              </w:rPr>
            </w:pPr>
            <w:r>
              <w:rPr>
                <w:rFonts w:ascii="Arial" w:hAnsi="Arial" w:cs="Arial"/>
                <w:sz w:val="20"/>
                <w:szCs w:val="20"/>
              </w:rPr>
              <w:t>Terrenos</w:t>
            </w:r>
          </w:p>
        </w:tc>
      </w:tr>
    </w:tbl>
    <w:p w:rsidR="000D7101" w:rsidRDefault="000D7101" w:rsidP="000D7101">
      <w:pPr>
        <w:pStyle w:val="Default"/>
        <w:ind w:right="18"/>
        <w:jc w:val="both"/>
        <w:rPr>
          <w:color w:val="auto"/>
          <w:sz w:val="20"/>
          <w:szCs w:val="20"/>
        </w:rPr>
      </w:pPr>
    </w:p>
    <w:p w:rsidR="000D7101" w:rsidRDefault="000D7101" w:rsidP="000D7101">
      <w:pPr>
        <w:pStyle w:val="Default"/>
        <w:ind w:right="18"/>
        <w:jc w:val="both"/>
        <w:rPr>
          <w:color w:val="auto"/>
          <w:sz w:val="20"/>
          <w:szCs w:val="20"/>
        </w:rPr>
      </w:pPr>
    </w:p>
    <w:p w:rsidR="000D7101" w:rsidRPr="00C441DA" w:rsidRDefault="000D7101" w:rsidP="000D7101">
      <w:pPr>
        <w:pStyle w:val="Default"/>
        <w:ind w:right="18"/>
        <w:jc w:val="both"/>
        <w:rPr>
          <w:color w:val="auto"/>
          <w:sz w:val="21"/>
          <w:szCs w:val="21"/>
        </w:rPr>
      </w:pPr>
      <w:r w:rsidRPr="00C441DA">
        <w:rPr>
          <w:b/>
          <w:color w:val="auto"/>
          <w:sz w:val="21"/>
          <w:szCs w:val="21"/>
        </w:rPr>
        <w:t xml:space="preserve">ARTÍCULO 37.- </w:t>
      </w:r>
      <w:r w:rsidRPr="00C441DA">
        <w:rPr>
          <w:color w:val="auto"/>
          <w:sz w:val="21"/>
          <w:szCs w:val="21"/>
        </w:rPr>
        <w:t xml:space="preserve">Para el ejercicio de este grupo de partidas se deberá observar lo siguiente: </w:t>
      </w:r>
    </w:p>
    <w:p w:rsidR="000D7101" w:rsidRPr="00E27867" w:rsidRDefault="000D7101" w:rsidP="000D7101">
      <w:pPr>
        <w:pStyle w:val="Default"/>
        <w:ind w:right="18"/>
        <w:jc w:val="both"/>
        <w:rPr>
          <w:color w:val="365F91"/>
          <w:sz w:val="21"/>
          <w:szCs w:val="21"/>
        </w:rPr>
      </w:pPr>
    </w:p>
    <w:p w:rsidR="000D7101" w:rsidRPr="00C441DA" w:rsidRDefault="000D7101" w:rsidP="000D7101">
      <w:pPr>
        <w:pStyle w:val="Default"/>
        <w:ind w:right="18"/>
        <w:jc w:val="both"/>
        <w:rPr>
          <w:color w:val="auto"/>
          <w:sz w:val="21"/>
          <w:szCs w:val="21"/>
        </w:rPr>
      </w:pPr>
      <w:r w:rsidRPr="00C441DA">
        <w:rPr>
          <w:color w:val="auto"/>
          <w:sz w:val="21"/>
          <w:szCs w:val="21"/>
        </w:rPr>
        <w:t>I. Las adquisiciones en este rubro de partidas las Dependencias, Unidades Ejecutoras del Gasto y Entidades Paramunicipales, ejercerán su gasto en bienes y servicios a través de la Coordinación General de Administración e Innovación Gubernamental a través de la Dirección de Recursos Materiales para que realicen la adquisición de conformidad a la normatividad correspondiente en materia de compras gubernamentales, tomándose en cuenta las condiciones especiales en las bases de licitación;</w:t>
      </w:r>
    </w:p>
    <w:p w:rsidR="000D7101" w:rsidRPr="00C441DA" w:rsidRDefault="000D7101" w:rsidP="000D7101">
      <w:pPr>
        <w:pStyle w:val="Default"/>
        <w:ind w:right="18"/>
        <w:jc w:val="both"/>
        <w:rPr>
          <w:color w:val="FF0000"/>
          <w:sz w:val="21"/>
          <w:szCs w:val="21"/>
        </w:rPr>
      </w:pPr>
    </w:p>
    <w:p w:rsidR="000D7101" w:rsidRPr="00B81741" w:rsidRDefault="000D7101" w:rsidP="000D7101">
      <w:pPr>
        <w:pStyle w:val="Default"/>
        <w:ind w:right="18"/>
        <w:jc w:val="both"/>
        <w:rPr>
          <w:sz w:val="20"/>
          <w:szCs w:val="20"/>
        </w:rPr>
      </w:pPr>
      <w:r w:rsidRPr="00B81741">
        <w:rPr>
          <w:sz w:val="20"/>
          <w:szCs w:val="20"/>
        </w:rPr>
        <w:t>II. En caso que las Dependencias, Unidades Ejecutoras del Gasto y Entidades Paramunicipales, necesiten ejercer su gasto en bienes y servicios a través del fondo revolvente, para evitar la suspensión de sus procesos, se sujetará a lo contemplado en el capítulo de dicho fondo de este Reglamento; y</w:t>
      </w: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color w:val="auto"/>
          <w:sz w:val="21"/>
          <w:szCs w:val="21"/>
        </w:rPr>
      </w:pPr>
      <w:r w:rsidRPr="00C441DA">
        <w:rPr>
          <w:color w:val="auto"/>
          <w:sz w:val="21"/>
          <w:szCs w:val="21"/>
        </w:rPr>
        <w:t>III. No podrán realizarse erogaciones que fracciones o simulen pagos para ejecutar el mondo antes mencionado.</w:t>
      </w:r>
    </w:p>
    <w:p w:rsidR="000D7101" w:rsidRPr="00C441DA" w:rsidRDefault="000D7101" w:rsidP="000D7101">
      <w:pPr>
        <w:pStyle w:val="Default"/>
        <w:ind w:right="18"/>
        <w:jc w:val="both"/>
        <w:rPr>
          <w:color w:val="FF0000"/>
          <w:sz w:val="21"/>
          <w:szCs w:val="21"/>
        </w:rPr>
      </w:pP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color w:val="auto"/>
          <w:sz w:val="21"/>
          <w:szCs w:val="21"/>
        </w:rPr>
      </w:pPr>
      <w:r w:rsidRPr="00C441DA">
        <w:rPr>
          <w:b/>
          <w:color w:val="auto"/>
          <w:sz w:val="21"/>
          <w:szCs w:val="21"/>
        </w:rPr>
        <w:t xml:space="preserve">ARTÍCULO 38.- </w:t>
      </w:r>
      <w:r w:rsidRPr="00C441DA">
        <w:rPr>
          <w:color w:val="auto"/>
          <w:sz w:val="21"/>
          <w:szCs w:val="21"/>
        </w:rPr>
        <w:t>Para el ejercicio de este grupo de partidas se las Entidades Paramunicipales deberá observar lo establecido en el artículo anterior, por conducto de sus áreas encargadas de la hacienda de la Entidad Paramunicipal o bajo los convenios en dicha materia, suscritos con el Municipio.</w:t>
      </w:r>
    </w:p>
    <w:p w:rsidR="000D7101" w:rsidRPr="00C441DA" w:rsidRDefault="000D7101" w:rsidP="000D7101">
      <w:pPr>
        <w:pStyle w:val="Default"/>
        <w:ind w:right="18"/>
        <w:jc w:val="both"/>
        <w:rPr>
          <w:color w:val="auto"/>
          <w:sz w:val="21"/>
          <w:szCs w:val="21"/>
        </w:rPr>
      </w:pPr>
    </w:p>
    <w:p w:rsidR="000D7101" w:rsidRPr="00E27867" w:rsidRDefault="000D7101" w:rsidP="000D7101">
      <w:pPr>
        <w:pStyle w:val="Default"/>
        <w:ind w:right="18"/>
        <w:rPr>
          <w:color w:val="17365D"/>
          <w:sz w:val="21"/>
          <w:szCs w:val="21"/>
        </w:rPr>
      </w:pPr>
    </w:p>
    <w:p w:rsidR="000D7101" w:rsidRPr="00C441DA" w:rsidRDefault="000D7101" w:rsidP="000D7101">
      <w:pPr>
        <w:pStyle w:val="Default"/>
        <w:ind w:right="18"/>
        <w:jc w:val="center"/>
        <w:rPr>
          <w:b/>
          <w:color w:val="auto"/>
          <w:sz w:val="21"/>
          <w:szCs w:val="21"/>
        </w:rPr>
      </w:pPr>
      <w:r w:rsidRPr="00C441DA">
        <w:rPr>
          <w:b/>
          <w:color w:val="auto"/>
          <w:sz w:val="21"/>
          <w:szCs w:val="21"/>
        </w:rPr>
        <w:t>CAPÍTULO III</w:t>
      </w:r>
    </w:p>
    <w:p w:rsidR="000D7101" w:rsidRPr="00C441DA" w:rsidRDefault="000D7101" w:rsidP="000D7101">
      <w:pPr>
        <w:pStyle w:val="Default"/>
        <w:ind w:right="18"/>
        <w:jc w:val="center"/>
        <w:rPr>
          <w:b/>
          <w:color w:val="auto"/>
          <w:sz w:val="21"/>
          <w:szCs w:val="21"/>
        </w:rPr>
      </w:pPr>
      <w:r w:rsidRPr="00C441DA">
        <w:rPr>
          <w:b/>
          <w:bCs/>
          <w:color w:val="auto"/>
          <w:sz w:val="21"/>
          <w:szCs w:val="21"/>
        </w:rPr>
        <w:t xml:space="preserve">DE LAS </w:t>
      </w:r>
      <w:r w:rsidRPr="00C441DA">
        <w:rPr>
          <w:b/>
          <w:color w:val="auto"/>
          <w:sz w:val="21"/>
          <w:szCs w:val="21"/>
        </w:rPr>
        <w:t xml:space="preserve">PARTIDAS PARA SU EJERCICIO A TRAVÉS </w:t>
      </w:r>
    </w:p>
    <w:p w:rsidR="000D7101" w:rsidRPr="00E27867" w:rsidRDefault="000D7101" w:rsidP="000D7101">
      <w:pPr>
        <w:pStyle w:val="Default"/>
        <w:ind w:right="18"/>
        <w:jc w:val="center"/>
        <w:rPr>
          <w:b/>
          <w:color w:val="17365D"/>
          <w:sz w:val="21"/>
          <w:szCs w:val="21"/>
        </w:rPr>
      </w:pPr>
      <w:r w:rsidRPr="00C441DA">
        <w:rPr>
          <w:b/>
          <w:color w:val="auto"/>
          <w:sz w:val="21"/>
          <w:szCs w:val="21"/>
        </w:rPr>
        <w:t>DE LA UNIDAD CENTRALIZADA DE COMPRAS GUBERNAMENTALES.</w:t>
      </w:r>
    </w:p>
    <w:p w:rsidR="000D7101" w:rsidRPr="00E27867" w:rsidRDefault="000D7101" w:rsidP="000D7101">
      <w:pPr>
        <w:pStyle w:val="Default"/>
        <w:ind w:right="18"/>
        <w:rPr>
          <w:color w:val="17365D"/>
          <w:sz w:val="21"/>
          <w:szCs w:val="21"/>
        </w:rPr>
      </w:pPr>
    </w:p>
    <w:p w:rsidR="000D7101" w:rsidRPr="00E27867" w:rsidRDefault="000D7101" w:rsidP="000D7101">
      <w:pPr>
        <w:pStyle w:val="Default"/>
        <w:ind w:right="18"/>
        <w:rPr>
          <w:color w:val="17365D"/>
          <w:sz w:val="21"/>
          <w:szCs w:val="21"/>
        </w:rPr>
      </w:pPr>
    </w:p>
    <w:p w:rsidR="000D7101" w:rsidRPr="00C441DA" w:rsidRDefault="000D7101" w:rsidP="000D7101">
      <w:pPr>
        <w:pStyle w:val="Default"/>
        <w:ind w:right="18"/>
        <w:jc w:val="both"/>
        <w:rPr>
          <w:color w:val="auto"/>
          <w:sz w:val="21"/>
          <w:szCs w:val="21"/>
        </w:rPr>
      </w:pPr>
      <w:r w:rsidRPr="00C441DA">
        <w:rPr>
          <w:b/>
          <w:color w:val="auto"/>
          <w:sz w:val="21"/>
          <w:szCs w:val="21"/>
        </w:rPr>
        <w:t>ARTÍCULO 39.-</w:t>
      </w:r>
      <w:r w:rsidRPr="00C441DA">
        <w:rPr>
          <w:color w:val="auto"/>
          <w:sz w:val="21"/>
          <w:szCs w:val="21"/>
        </w:rPr>
        <w:t xml:space="preserve"> Las partidas para su ejercicio a través de la unidad centralizada de compras gubernamentales, son las siguientes:</w:t>
      </w:r>
    </w:p>
    <w:p w:rsidR="000D7101" w:rsidRDefault="000D7101" w:rsidP="000D7101">
      <w:pPr>
        <w:pStyle w:val="Default"/>
        <w:ind w:right="18"/>
        <w:jc w:val="both"/>
        <w:rPr>
          <w:b/>
          <w:bCs/>
          <w:color w:val="auto"/>
          <w:sz w:val="20"/>
          <w:szCs w:val="20"/>
        </w:rPr>
      </w:pPr>
    </w:p>
    <w:p w:rsidR="000D7101" w:rsidRDefault="000D7101" w:rsidP="000D7101">
      <w:pPr>
        <w:pStyle w:val="Default"/>
        <w:ind w:right="18"/>
        <w:jc w:val="both"/>
        <w:rPr>
          <w:b/>
          <w:bCs/>
          <w:color w:val="auto"/>
          <w:sz w:val="20"/>
          <w:szCs w:val="20"/>
        </w:rPr>
      </w:pPr>
      <w:r>
        <w:rPr>
          <w:b/>
          <w:bCs/>
          <w:color w:val="auto"/>
          <w:sz w:val="20"/>
          <w:szCs w:val="20"/>
        </w:rPr>
        <w:t>Capítulo 2000 Materiales y Suministros</w:t>
      </w:r>
    </w:p>
    <w:p w:rsidR="000D7101" w:rsidRDefault="000D7101" w:rsidP="000D7101">
      <w:pPr>
        <w:pStyle w:val="Default"/>
        <w:ind w:right="18"/>
        <w:rPr>
          <w:color w:val="auto"/>
          <w:sz w:val="20"/>
          <w:szCs w:val="20"/>
        </w:rPr>
      </w:pPr>
      <w:r>
        <w:rPr>
          <w:color w:val="auto"/>
          <w:sz w:val="20"/>
          <w:szCs w:val="20"/>
        </w:rPr>
        <w:t>Partida        Concepto</w:t>
      </w:r>
    </w:p>
    <w:tbl>
      <w:tblPr>
        <w:tblW w:w="0" w:type="auto"/>
        <w:tblInd w:w="55" w:type="dxa"/>
        <w:tblLayout w:type="fixed"/>
        <w:tblCellMar>
          <w:left w:w="70" w:type="dxa"/>
          <w:right w:w="70" w:type="dxa"/>
        </w:tblCellMar>
        <w:tblLook w:val="04A0" w:firstRow="1" w:lastRow="0" w:firstColumn="1" w:lastColumn="0" w:noHBand="0" w:noVBand="1"/>
      </w:tblPr>
      <w:tblGrid>
        <w:gridCol w:w="724"/>
        <w:gridCol w:w="8199"/>
      </w:tblGrid>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2611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 xml:space="preserve">Combustibles, lubricantes y aditivos </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2711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 xml:space="preserve">Vestuario y uniformes </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2831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 xml:space="preserve">Prendas de protección para seguridad pública y nacional </w:t>
            </w:r>
          </w:p>
        </w:tc>
      </w:tr>
    </w:tbl>
    <w:p w:rsidR="000D7101" w:rsidRPr="00E27867" w:rsidRDefault="000D7101" w:rsidP="000D7101">
      <w:pPr>
        <w:pStyle w:val="Default"/>
        <w:ind w:right="18"/>
        <w:rPr>
          <w:b/>
          <w:bCs/>
          <w:color w:val="365F91"/>
          <w:sz w:val="20"/>
          <w:szCs w:val="20"/>
        </w:rPr>
      </w:pPr>
    </w:p>
    <w:p w:rsidR="000D7101" w:rsidRDefault="000D7101" w:rsidP="000D7101">
      <w:pPr>
        <w:pStyle w:val="Default"/>
        <w:ind w:right="18"/>
        <w:rPr>
          <w:b/>
          <w:bCs/>
          <w:color w:val="auto"/>
          <w:sz w:val="20"/>
          <w:szCs w:val="20"/>
        </w:rPr>
      </w:pPr>
      <w:r>
        <w:rPr>
          <w:b/>
          <w:bCs/>
          <w:color w:val="auto"/>
          <w:sz w:val="20"/>
          <w:szCs w:val="20"/>
        </w:rPr>
        <w:t>Capítulo 3000 Servicios Generales</w:t>
      </w:r>
    </w:p>
    <w:p w:rsidR="000D7101" w:rsidRDefault="000D7101" w:rsidP="000D7101">
      <w:pPr>
        <w:pStyle w:val="Default"/>
        <w:ind w:right="18"/>
        <w:rPr>
          <w:color w:val="auto"/>
          <w:sz w:val="20"/>
          <w:szCs w:val="20"/>
        </w:rPr>
      </w:pPr>
      <w:r>
        <w:rPr>
          <w:color w:val="auto"/>
          <w:sz w:val="20"/>
          <w:szCs w:val="20"/>
        </w:rPr>
        <w:t>Partida        Concepto</w:t>
      </w:r>
    </w:p>
    <w:tbl>
      <w:tblPr>
        <w:tblW w:w="0" w:type="auto"/>
        <w:tblInd w:w="55" w:type="dxa"/>
        <w:tblLayout w:type="fixed"/>
        <w:tblCellMar>
          <w:left w:w="70" w:type="dxa"/>
          <w:right w:w="70" w:type="dxa"/>
        </w:tblCellMar>
        <w:tblLook w:val="04A0" w:firstRow="1" w:lastRow="0" w:firstColumn="1" w:lastColumn="0" w:noHBand="0" w:noVBand="1"/>
      </w:tblPr>
      <w:tblGrid>
        <w:gridCol w:w="724"/>
        <w:gridCol w:w="8199"/>
      </w:tblGrid>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3111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Energía eléctrica</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3141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Telefonía tradicional</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3151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Telefonía celular</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3161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Servicios de telecomunicaciones y satélites</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3221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Arrendamiento de edificios</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3231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Arrendamiento de mobiliario y equipo de administración, educacional y recreativo</w:t>
            </w:r>
          </w:p>
        </w:tc>
      </w:tr>
      <w:tr w:rsidR="000D7101" w:rsidTr="00B74BF5">
        <w:trPr>
          <w:trHeight w:val="269"/>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3441</w:t>
            </w:r>
          </w:p>
        </w:tc>
        <w:tc>
          <w:tcPr>
            <w:tcW w:w="8199" w:type="dxa"/>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 xml:space="preserve">Seguros de responsabilidad patrimonial y fianzas </w:t>
            </w:r>
          </w:p>
        </w:tc>
      </w:tr>
      <w:tr w:rsidR="000D7101" w:rsidTr="00B74BF5">
        <w:trPr>
          <w:trHeight w:val="300"/>
        </w:trPr>
        <w:tc>
          <w:tcPr>
            <w:tcW w:w="724" w:type="dxa"/>
            <w:tcBorders>
              <w:top w:val="nil"/>
              <w:left w:val="nil"/>
              <w:bottom w:val="nil"/>
              <w:right w:val="nil"/>
            </w:tcBorders>
            <w:shd w:val="clear" w:color="000000" w:fill="FFFFFF"/>
            <w:noWrap/>
            <w:vAlign w:val="bottom"/>
          </w:tcPr>
          <w:p w:rsidR="000D7101" w:rsidRDefault="000D7101" w:rsidP="00B74BF5">
            <w:pPr>
              <w:ind w:right="18"/>
              <w:jc w:val="center"/>
              <w:rPr>
                <w:rFonts w:ascii="Arial" w:hAnsi="Arial" w:cs="Arial"/>
                <w:sz w:val="20"/>
                <w:szCs w:val="20"/>
              </w:rPr>
            </w:pPr>
            <w:r>
              <w:rPr>
                <w:rFonts w:ascii="Arial" w:hAnsi="Arial" w:cs="Arial"/>
                <w:sz w:val="20"/>
                <w:szCs w:val="20"/>
              </w:rPr>
              <w:t>3451</w:t>
            </w:r>
          </w:p>
        </w:tc>
        <w:tc>
          <w:tcPr>
            <w:tcW w:w="8199" w:type="dxa"/>
            <w:tcBorders>
              <w:top w:val="nil"/>
              <w:left w:val="nil"/>
              <w:bottom w:val="nil"/>
              <w:right w:val="nil"/>
            </w:tcBorders>
            <w:shd w:val="clear" w:color="000000" w:fill="FFFFFF"/>
            <w:noWrap/>
            <w:vAlign w:val="bottom"/>
          </w:tcPr>
          <w:p w:rsidR="000D7101" w:rsidRDefault="000D7101" w:rsidP="00B74BF5">
            <w:pPr>
              <w:ind w:right="18"/>
              <w:rPr>
                <w:rFonts w:ascii="Arial" w:hAnsi="Arial" w:cs="Arial"/>
                <w:sz w:val="20"/>
                <w:szCs w:val="20"/>
              </w:rPr>
            </w:pPr>
            <w:r>
              <w:rPr>
                <w:rFonts w:ascii="Arial" w:hAnsi="Arial" w:cs="Arial"/>
                <w:sz w:val="20"/>
                <w:szCs w:val="20"/>
              </w:rPr>
              <w:t xml:space="preserve">Seguro de bienes patrimoniales </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lastRenderedPageBreak/>
              <w:t>3511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Conservación y mantenimiento menor de inmuebles</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3531</w:t>
            </w:r>
          </w:p>
          <w:p w:rsidR="000D7101" w:rsidRDefault="000D7101" w:rsidP="00B74BF5">
            <w:pPr>
              <w:ind w:right="18"/>
              <w:jc w:val="center"/>
              <w:rPr>
                <w:rFonts w:ascii="Arial" w:hAnsi="Arial" w:cs="Arial"/>
                <w:sz w:val="20"/>
                <w:szCs w:val="20"/>
              </w:rPr>
            </w:pP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Instalación, reparación y mantenimiento de equipo de cómputo y tecnología de la información</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3541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Instalación, reparación y mantenimiento de equipo e instrumental médico y de laboratorio</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3581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Servicios de limpieza y manejo de desechos</w:t>
            </w:r>
          </w:p>
        </w:tc>
      </w:tr>
    </w:tbl>
    <w:p w:rsidR="000D7101" w:rsidRPr="00E27867" w:rsidRDefault="000D7101" w:rsidP="000D7101">
      <w:pPr>
        <w:pStyle w:val="Default"/>
        <w:ind w:right="18"/>
        <w:rPr>
          <w:b/>
          <w:bCs/>
          <w:color w:val="365F91"/>
          <w:sz w:val="20"/>
          <w:szCs w:val="20"/>
        </w:rPr>
      </w:pPr>
    </w:p>
    <w:p w:rsidR="000D7101" w:rsidRDefault="000D7101" w:rsidP="000D7101">
      <w:pPr>
        <w:pStyle w:val="Default"/>
        <w:ind w:right="18"/>
        <w:rPr>
          <w:b/>
          <w:bCs/>
          <w:color w:val="auto"/>
          <w:sz w:val="20"/>
          <w:szCs w:val="20"/>
        </w:rPr>
      </w:pPr>
      <w:r>
        <w:rPr>
          <w:b/>
          <w:bCs/>
          <w:color w:val="auto"/>
          <w:sz w:val="20"/>
          <w:szCs w:val="20"/>
        </w:rPr>
        <w:t xml:space="preserve">Capítulo 5000 Bienes Muebles, Inmuebles e Intangibles </w:t>
      </w:r>
    </w:p>
    <w:p w:rsidR="000D7101" w:rsidRDefault="000D7101" w:rsidP="000D7101">
      <w:pPr>
        <w:pStyle w:val="Default"/>
        <w:ind w:right="18"/>
        <w:rPr>
          <w:color w:val="auto"/>
          <w:sz w:val="20"/>
          <w:szCs w:val="20"/>
        </w:rPr>
      </w:pPr>
      <w:r>
        <w:rPr>
          <w:color w:val="auto"/>
          <w:sz w:val="20"/>
          <w:szCs w:val="20"/>
        </w:rPr>
        <w:t>Partida        Concepto</w:t>
      </w:r>
    </w:p>
    <w:tbl>
      <w:tblPr>
        <w:tblW w:w="0" w:type="auto"/>
        <w:tblInd w:w="55" w:type="dxa"/>
        <w:tblLayout w:type="fixed"/>
        <w:tblCellMar>
          <w:left w:w="70" w:type="dxa"/>
          <w:right w:w="70" w:type="dxa"/>
        </w:tblCellMar>
        <w:tblLook w:val="04A0" w:firstRow="1" w:lastRow="0" w:firstColumn="1" w:lastColumn="0" w:noHBand="0" w:noVBand="1"/>
      </w:tblPr>
      <w:tblGrid>
        <w:gridCol w:w="724"/>
        <w:gridCol w:w="8199"/>
      </w:tblGrid>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5111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Muebles de oficina y estantería</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5121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Muebles, excepto de oficina y estantería</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5131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Bienes artísticos culturales y científicos</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5151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Equipo de cómputo de tecnologías de la información</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5191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Otros mobiliarios y equipos de administración</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5211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Equipos y aparatos audiovisuales</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5231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Cámaras fotográficas y de video</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5291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Otro mobiliario y equipo educacional y recreativo</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5311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Equipo médico y de laboratorio</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5321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Instrumental médico y de laboratorio</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5411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Vehículos y equipo de transporte</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5421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Carrocerías y remolques</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5611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Maquinaria y equipo agropecuario</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5621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Maquinaria y equipo industrial</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5631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Maquinaria y equipo de construcción</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5641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Sistemas de aire acondicionado, calefacción y de refrigeración industrial y comercial</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5651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Equipo de comunicación y telecomunicación</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5661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Equipo de generación eléctrica, aparatos y accesorios eléctricos</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5662</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Paneles solares</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5671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Herramientas y máquinas-herramienta</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5691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Otros equipos</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5911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Software</w:t>
            </w:r>
          </w:p>
        </w:tc>
      </w:tr>
      <w:tr w:rsidR="000D7101" w:rsidTr="00B74BF5">
        <w:trPr>
          <w:trHeight w:val="300"/>
        </w:trPr>
        <w:tc>
          <w:tcPr>
            <w:tcW w:w="724" w:type="dxa"/>
            <w:tcBorders>
              <w:top w:val="nil"/>
              <w:left w:val="nil"/>
              <w:bottom w:val="nil"/>
              <w:right w:val="nil"/>
            </w:tcBorders>
            <w:shd w:val="clear" w:color="000000" w:fill="FFFFFF"/>
            <w:noWrap/>
            <w:vAlign w:val="bottom"/>
            <w:hideMark/>
          </w:tcPr>
          <w:p w:rsidR="000D7101" w:rsidRDefault="000D7101" w:rsidP="00B74BF5">
            <w:pPr>
              <w:ind w:right="18"/>
              <w:jc w:val="center"/>
              <w:rPr>
                <w:rFonts w:ascii="Arial" w:hAnsi="Arial" w:cs="Arial"/>
                <w:sz w:val="20"/>
                <w:szCs w:val="20"/>
              </w:rPr>
            </w:pPr>
            <w:r>
              <w:rPr>
                <w:rFonts w:ascii="Arial" w:hAnsi="Arial" w:cs="Arial"/>
                <w:sz w:val="20"/>
                <w:szCs w:val="20"/>
              </w:rPr>
              <w:t>5971</w:t>
            </w:r>
          </w:p>
        </w:tc>
        <w:tc>
          <w:tcPr>
            <w:tcW w:w="8199" w:type="dxa"/>
            <w:tcBorders>
              <w:top w:val="nil"/>
              <w:left w:val="nil"/>
              <w:bottom w:val="nil"/>
              <w:right w:val="nil"/>
            </w:tcBorders>
            <w:shd w:val="clear" w:color="000000" w:fill="FFFFFF"/>
            <w:noWrap/>
            <w:vAlign w:val="bottom"/>
            <w:hideMark/>
          </w:tcPr>
          <w:p w:rsidR="000D7101" w:rsidRDefault="000D7101" w:rsidP="00B74BF5">
            <w:pPr>
              <w:ind w:right="18"/>
              <w:rPr>
                <w:rFonts w:ascii="Arial" w:hAnsi="Arial" w:cs="Arial"/>
                <w:sz w:val="20"/>
                <w:szCs w:val="20"/>
              </w:rPr>
            </w:pPr>
            <w:r>
              <w:rPr>
                <w:rFonts w:ascii="Arial" w:hAnsi="Arial" w:cs="Arial"/>
                <w:sz w:val="20"/>
                <w:szCs w:val="20"/>
              </w:rPr>
              <w:t>Licencias informáticas e intelectuales</w:t>
            </w:r>
          </w:p>
        </w:tc>
      </w:tr>
    </w:tbl>
    <w:p w:rsidR="000D7101" w:rsidRPr="00E27867" w:rsidRDefault="000D7101" w:rsidP="000D7101">
      <w:pPr>
        <w:pStyle w:val="Default"/>
        <w:ind w:right="18"/>
        <w:rPr>
          <w:color w:val="365F91"/>
          <w:sz w:val="20"/>
          <w:szCs w:val="20"/>
        </w:rPr>
      </w:pPr>
    </w:p>
    <w:p w:rsidR="000D7101" w:rsidRPr="00E27867" w:rsidRDefault="000D7101" w:rsidP="000D7101">
      <w:pPr>
        <w:pStyle w:val="Default"/>
        <w:ind w:right="18"/>
        <w:rPr>
          <w:color w:val="17365D"/>
          <w:sz w:val="20"/>
          <w:szCs w:val="20"/>
        </w:rPr>
      </w:pPr>
    </w:p>
    <w:p w:rsidR="000D7101" w:rsidRPr="00C441DA" w:rsidRDefault="000D7101" w:rsidP="000D7101">
      <w:pPr>
        <w:pStyle w:val="Default"/>
        <w:ind w:right="18"/>
        <w:jc w:val="both"/>
        <w:rPr>
          <w:bCs/>
          <w:color w:val="auto"/>
          <w:sz w:val="21"/>
          <w:szCs w:val="21"/>
        </w:rPr>
      </w:pPr>
      <w:r w:rsidRPr="00C441DA">
        <w:rPr>
          <w:b/>
          <w:color w:val="auto"/>
          <w:sz w:val="21"/>
          <w:szCs w:val="21"/>
        </w:rPr>
        <w:t xml:space="preserve">ARTÍCULO 40.- </w:t>
      </w:r>
      <w:r w:rsidRPr="00C441DA">
        <w:rPr>
          <w:color w:val="auto"/>
          <w:sz w:val="21"/>
          <w:szCs w:val="21"/>
        </w:rPr>
        <w:t xml:space="preserve">Para el ejercicio de este grupo de partidas las Dependencias y Unidades Ejecutoras del Gasto se llevará a cabo a través de la </w:t>
      </w:r>
      <w:r w:rsidRPr="00C441DA">
        <w:rPr>
          <w:bCs/>
          <w:color w:val="auto"/>
          <w:sz w:val="21"/>
          <w:szCs w:val="21"/>
        </w:rPr>
        <w:t>Coordinación General de Administración e Innovación Gubernamental, por conducto de la Dirección de Recursos Materiales.</w:t>
      </w:r>
    </w:p>
    <w:p w:rsidR="000D7101" w:rsidRPr="00C441DA" w:rsidRDefault="000D7101" w:rsidP="000D7101">
      <w:pPr>
        <w:pStyle w:val="Default"/>
        <w:ind w:right="18"/>
        <w:jc w:val="both"/>
        <w:rPr>
          <w:bCs/>
          <w:color w:val="auto"/>
          <w:sz w:val="21"/>
          <w:szCs w:val="21"/>
        </w:rPr>
      </w:pPr>
    </w:p>
    <w:p w:rsidR="000D7101" w:rsidRPr="00C441DA" w:rsidRDefault="000D7101" w:rsidP="000D7101">
      <w:pPr>
        <w:pStyle w:val="Default"/>
        <w:ind w:right="18"/>
        <w:jc w:val="both"/>
        <w:rPr>
          <w:color w:val="auto"/>
          <w:sz w:val="21"/>
          <w:szCs w:val="21"/>
        </w:rPr>
      </w:pPr>
      <w:r w:rsidRPr="00C441DA">
        <w:rPr>
          <w:bCs/>
          <w:color w:val="auto"/>
          <w:sz w:val="21"/>
          <w:szCs w:val="21"/>
        </w:rPr>
        <w:t>Asimismo,</w:t>
      </w:r>
      <w:r w:rsidRPr="00C441DA">
        <w:rPr>
          <w:color w:val="auto"/>
          <w:sz w:val="21"/>
          <w:szCs w:val="21"/>
        </w:rPr>
        <w:t xml:space="preserve"> para el ejercicio de este grupo de partidas</w:t>
      </w:r>
      <w:r w:rsidRPr="00C441DA">
        <w:rPr>
          <w:bCs/>
          <w:color w:val="auto"/>
          <w:sz w:val="21"/>
          <w:szCs w:val="21"/>
        </w:rPr>
        <w:t xml:space="preserve"> las Entidades Paramunicipales la llevarán a cabo</w:t>
      </w:r>
      <w:r w:rsidRPr="00C441DA">
        <w:rPr>
          <w:color w:val="auto"/>
          <w:sz w:val="21"/>
          <w:szCs w:val="21"/>
        </w:rPr>
        <w:t xml:space="preserve"> de conformidad a la legislación y normatividad correspondiente en materia de compras gubernamentales o bajo los convenios para adquisiciones suscritos con el Municipio, con cargo a sus asignaciones presupuestales.</w:t>
      </w: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color w:val="auto"/>
          <w:sz w:val="21"/>
          <w:szCs w:val="21"/>
        </w:rPr>
      </w:pPr>
    </w:p>
    <w:p w:rsidR="000D7101" w:rsidRPr="00B81741" w:rsidRDefault="000D7101" w:rsidP="000D7101">
      <w:pPr>
        <w:pStyle w:val="Default"/>
        <w:ind w:right="18"/>
        <w:jc w:val="both"/>
        <w:rPr>
          <w:color w:val="FF0000"/>
          <w:sz w:val="20"/>
          <w:szCs w:val="20"/>
        </w:rPr>
      </w:pPr>
      <w:r>
        <w:rPr>
          <w:b/>
          <w:color w:val="auto"/>
          <w:sz w:val="20"/>
          <w:szCs w:val="20"/>
        </w:rPr>
        <w:lastRenderedPageBreak/>
        <w:t xml:space="preserve">ARTÍCULO 41.- </w:t>
      </w:r>
      <w:r>
        <w:rPr>
          <w:color w:val="auto"/>
          <w:sz w:val="20"/>
          <w:szCs w:val="20"/>
        </w:rPr>
        <w:t xml:space="preserve">Las partidas de este capítulo no podrán ejercerse mediante fondo revolvente, </w:t>
      </w:r>
      <w:r w:rsidRPr="00B81741">
        <w:rPr>
          <w:color w:val="auto"/>
          <w:sz w:val="20"/>
          <w:szCs w:val="20"/>
        </w:rPr>
        <w:t>excepto las adquisiciones a que se refiere la fracción V del artículo 5.</w:t>
      </w:r>
    </w:p>
    <w:p w:rsidR="000D7101" w:rsidRPr="00E27867" w:rsidRDefault="000D7101" w:rsidP="000D7101">
      <w:pPr>
        <w:pStyle w:val="Default"/>
        <w:ind w:right="18"/>
        <w:rPr>
          <w:color w:val="17365D"/>
          <w:sz w:val="21"/>
          <w:szCs w:val="21"/>
        </w:rPr>
      </w:pPr>
    </w:p>
    <w:p w:rsidR="000D7101" w:rsidRPr="00C441DA" w:rsidRDefault="000D7101" w:rsidP="000D7101">
      <w:pPr>
        <w:pStyle w:val="Default"/>
        <w:ind w:right="18"/>
        <w:jc w:val="center"/>
        <w:rPr>
          <w:b/>
          <w:color w:val="auto"/>
          <w:sz w:val="21"/>
          <w:szCs w:val="21"/>
        </w:rPr>
      </w:pPr>
      <w:r w:rsidRPr="00C441DA">
        <w:rPr>
          <w:b/>
          <w:color w:val="auto"/>
          <w:sz w:val="21"/>
          <w:szCs w:val="21"/>
        </w:rPr>
        <w:t>CAPÍTULO IV</w:t>
      </w:r>
    </w:p>
    <w:p w:rsidR="000D7101" w:rsidRPr="00C441DA" w:rsidRDefault="000D7101" w:rsidP="000D7101">
      <w:pPr>
        <w:pStyle w:val="Default"/>
        <w:ind w:right="18"/>
        <w:jc w:val="center"/>
        <w:rPr>
          <w:b/>
          <w:color w:val="auto"/>
          <w:sz w:val="21"/>
          <w:szCs w:val="21"/>
        </w:rPr>
      </w:pPr>
      <w:r w:rsidRPr="00C441DA">
        <w:rPr>
          <w:b/>
          <w:bCs/>
          <w:color w:val="auto"/>
          <w:sz w:val="21"/>
          <w:szCs w:val="21"/>
        </w:rPr>
        <w:t xml:space="preserve">DE LAS </w:t>
      </w:r>
      <w:r w:rsidRPr="00C441DA">
        <w:rPr>
          <w:b/>
          <w:color w:val="auto"/>
          <w:sz w:val="21"/>
          <w:szCs w:val="21"/>
        </w:rPr>
        <w:t xml:space="preserve">PARTIDAS PARA SU EJERCICIO A TRAVÉS </w:t>
      </w:r>
    </w:p>
    <w:p w:rsidR="000D7101" w:rsidRPr="00E27867" w:rsidRDefault="000D7101" w:rsidP="000D7101">
      <w:pPr>
        <w:pStyle w:val="Default"/>
        <w:ind w:right="18"/>
        <w:jc w:val="center"/>
        <w:rPr>
          <w:b/>
          <w:color w:val="17365D"/>
          <w:sz w:val="21"/>
          <w:szCs w:val="21"/>
        </w:rPr>
      </w:pPr>
      <w:r w:rsidRPr="00C441DA">
        <w:rPr>
          <w:b/>
          <w:color w:val="auto"/>
          <w:sz w:val="21"/>
          <w:szCs w:val="21"/>
        </w:rPr>
        <w:t>DE LA DIRECCIÓN GENERAL DE OBRAS PÚBLICAS</w:t>
      </w:r>
    </w:p>
    <w:p w:rsidR="000D7101" w:rsidRPr="00E27867" w:rsidRDefault="000D7101" w:rsidP="000D7101">
      <w:pPr>
        <w:pStyle w:val="Default"/>
        <w:ind w:right="18"/>
        <w:rPr>
          <w:color w:val="17365D"/>
          <w:sz w:val="21"/>
          <w:szCs w:val="21"/>
        </w:rPr>
      </w:pPr>
    </w:p>
    <w:p w:rsidR="000D7101" w:rsidRPr="00E27867" w:rsidRDefault="000D7101" w:rsidP="000D7101">
      <w:pPr>
        <w:pStyle w:val="Default"/>
        <w:ind w:right="18"/>
        <w:rPr>
          <w:color w:val="17365D"/>
          <w:sz w:val="21"/>
          <w:szCs w:val="21"/>
        </w:rPr>
      </w:pPr>
    </w:p>
    <w:p w:rsidR="000D7101" w:rsidRPr="00C441DA" w:rsidRDefault="000D7101" w:rsidP="000D7101">
      <w:pPr>
        <w:pStyle w:val="Default"/>
        <w:ind w:right="18"/>
        <w:jc w:val="both"/>
        <w:rPr>
          <w:color w:val="auto"/>
          <w:sz w:val="21"/>
          <w:szCs w:val="21"/>
        </w:rPr>
      </w:pPr>
      <w:r w:rsidRPr="00C441DA">
        <w:rPr>
          <w:b/>
          <w:color w:val="auto"/>
          <w:sz w:val="21"/>
          <w:szCs w:val="21"/>
        </w:rPr>
        <w:t>ARTÍCULO 42.-</w:t>
      </w:r>
      <w:r w:rsidRPr="00C441DA">
        <w:rPr>
          <w:color w:val="auto"/>
          <w:sz w:val="21"/>
          <w:szCs w:val="21"/>
        </w:rPr>
        <w:t xml:space="preserve"> Las partidas para su ejercicio a través de la Dirección General de Obras Públicas son la totalidad de partidas del Capítulo 6000, de conformidad con la legislación, normativa y reglamentación aplicable.</w:t>
      </w: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color w:val="auto"/>
          <w:sz w:val="21"/>
          <w:szCs w:val="21"/>
        </w:rPr>
      </w:pPr>
      <w:r w:rsidRPr="00C441DA">
        <w:rPr>
          <w:b/>
          <w:color w:val="auto"/>
          <w:sz w:val="21"/>
          <w:szCs w:val="21"/>
        </w:rPr>
        <w:t xml:space="preserve">ARTÍCULO 43.- </w:t>
      </w:r>
      <w:r w:rsidRPr="00C441DA">
        <w:rPr>
          <w:color w:val="auto"/>
          <w:sz w:val="21"/>
          <w:szCs w:val="21"/>
        </w:rPr>
        <w:t>Las Dependencias expondrán al Presidente Municipal sus necesidades en materia de obra pública, quien acordará la asignación presupuestal en la elaboración de los proyectos del Presupuesto de Egresos, con la Dirección General de Obras Públicas y la Tesorería.</w:t>
      </w: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color w:val="FF0000"/>
          <w:sz w:val="21"/>
          <w:szCs w:val="21"/>
        </w:rPr>
      </w:pPr>
      <w:r w:rsidRPr="00C441DA">
        <w:rPr>
          <w:b/>
          <w:color w:val="auto"/>
          <w:sz w:val="21"/>
          <w:szCs w:val="21"/>
        </w:rPr>
        <w:t xml:space="preserve">ARTÍCULO 44.- </w:t>
      </w:r>
      <w:r w:rsidRPr="00C441DA">
        <w:rPr>
          <w:color w:val="auto"/>
          <w:sz w:val="21"/>
          <w:szCs w:val="21"/>
        </w:rPr>
        <w:t>Para el ejercicio de este grupo de partidas</w:t>
      </w:r>
      <w:r w:rsidRPr="00C441DA">
        <w:rPr>
          <w:bCs/>
          <w:color w:val="auto"/>
          <w:sz w:val="21"/>
          <w:szCs w:val="21"/>
        </w:rPr>
        <w:t xml:space="preserve"> las Entidades Paramunicipales solicitarán y podrán celebran </w:t>
      </w:r>
      <w:r w:rsidRPr="00C441DA">
        <w:rPr>
          <w:color w:val="auto"/>
          <w:sz w:val="21"/>
          <w:szCs w:val="21"/>
        </w:rPr>
        <w:t>los convenios para la realización de obra pública suscritos con el Municipio, previo cumplimiento del proceso previsto en este Reglamento.</w:t>
      </w: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both"/>
        <w:rPr>
          <w:color w:val="auto"/>
          <w:sz w:val="21"/>
          <w:szCs w:val="21"/>
        </w:rPr>
      </w:pPr>
    </w:p>
    <w:p w:rsidR="000D7101" w:rsidRPr="00C441DA" w:rsidRDefault="000D7101" w:rsidP="000D7101">
      <w:pPr>
        <w:pStyle w:val="Default"/>
        <w:ind w:right="18"/>
        <w:jc w:val="center"/>
        <w:rPr>
          <w:b/>
          <w:color w:val="auto"/>
          <w:sz w:val="21"/>
          <w:szCs w:val="21"/>
        </w:rPr>
      </w:pPr>
      <w:r w:rsidRPr="00C441DA">
        <w:rPr>
          <w:b/>
          <w:color w:val="auto"/>
          <w:sz w:val="21"/>
          <w:szCs w:val="21"/>
        </w:rPr>
        <w:t>CAPÍTULO V</w:t>
      </w:r>
    </w:p>
    <w:p w:rsidR="000D7101" w:rsidRPr="00C441DA" w:rsidRDefault="000D7101" w:rsidP="000D7101">
      <w:pPr>
        <w:pStyle w:val="Default"/>
        <w:ind w:right="18"/>
        <w:jc w:val="center"/>
        <w:rPr>
          <w:rFonts w:eastAsia="Arial"/>
          <w:b/>
          <w:color w:val="auto"/>
          <w:sz w:val="21"/>
          <w:szCs w:val="21"/>
        </w:rPr>
      </w:pPr>
      <w:r w:rsidRPr="00C441DA">
        <w:rPr>
          <w:rFonts w:eastAsia="Arial"/>
          <w:b/>
          <w:color w:val="auto"/>
          <w:sz w:val="21"/>
          <w:szCs w:val="21"/>
        </w:rPr>
        <w:t xml:space="preserve">DE LAS PARTIDAS DE TRANSFERENCIAS, ASIGNACIONES, </w:t>
      </w:r>
    </w:p>
    <w:p w:rsidR="000D7101" w:rsidRPr="00C441DA" w:rsidRDefault="000D7101" w:rsidP="000D7101">
      <w:pPr>
        <w:pStyle w:val="Default"/>
        <w:ind w:right="18"/>
        <w:jc w:val="center"/>
        <w:rPr>
          <w:b/>
          <w:bCs/>
          <w:color w:val="auto"/>
          <w:sz w:val="21"/>
          <w:szCs w:val="21"/>
        </w:rPr>
      </w:pPr>
      <w:r w:rsidRPr="00C441DA">
        <w:rPr>
          <w:rFonts w:eastAsia="Arial"/>
          <w:b/>
          <w:color w:val="auto"/>
          <w:sz w:val="21"/>
          <w:szCs w:val="21"/>
        </w:rPr>
        <w:t>SUBSIDIOS Y OTRAS AYUDAS</w:t>
      </w:r>
    </w:p>
    <w:p w:rsidR="000D7101" w:rsidRPr="00C441DA" w:rsidRDefault="000D7101" w:rsidP="000D7101">
      <w:pPr>
        <w:pStyle w:val="Default"/>
        <w:ind w:right="18"/>
        <w:rPr>
          <w:b/>
          <w:bCs/>
          <w:color w:val="auto"/>
          <w:sz w:val="21"/>
          <w:szCs w:val="21"/>
        </w:rPr>
      </w:pPr>
    </w:p>
    <w:p w:rsidR="000D7101" w:rsidRPr="00C441DA" w:rsidRDefault="000D7101" w:rsidP="000D7101">
      <w:pPr>
        <w:pStyle w:val="Default"/>
        <w:ind w:right="18"/>
        <w:rPr>
          <w:b/>
          <w:bCs/>
          <w:color w:val="auto"/>
          <w:sz w:val="21"/>
          <w:szCs w:val="21"/>
        </w:rPr>
      </w:pPr>
    </w:p>
    <w:p w:rsidR="000D7101" w:rsidRPr="00C441DA" w:rsidRDefault="000D7101" w:rsidP="000D7101">
      <w:pPr>
        <w:pStyle w:val="Default"/>
        <w:ind w:right="18"/>
        <w:jc w:val="both"/>
        <w:rPr>
          <w:b/>
          <w:bCs/>
          <w:color w:val="auto"/>
          <w:sz w:val="21"/>
          <w:szCs w:val="21"/>
        </w:rPr>
      </w:pPr>
      <w:r w:rsidRPr="00C441DA">
        <w:rPr>
          <w:b/>
          <w:color w:val="auto"/>
          <w:sz w:val="21"/>
          <w:szCs w:val="21"/>
        </w:rPr>
        <w:t>ARTÍCULO 45.-</w:t>
      </w:r>
      <w:r w:rsidRPr="00C441DA">
        <w:rPr>
          <w:color w:val="auto"/>
          <w:sz w:val="21"/>
          <w:szCs w:val="21"/>
        </w:rPr>
        <w:t xml:space="preserve"> Las </w:t>
      </w:r>
      <w:r w:rsidRPr="00C441DA">
        <w:rPr>
          <w:rFonts w:eastAsia="Arial"/>
          <w:color w:val="auto"/>
          <w:sz w:val="21"/>
          <w:szCs w:val="21"/>
        </w:rPr>
        <w:t>Partidas de Transferencias, Asignaciones, Subsidios y Otras Ayudas,</w:t>
      </w:r>
      <w:r w:rsidRPr="00C441DA">
        <w:rPr>
          <w:rFonts w:eastAsia="Arial"/>
          <w:b/>
          <w:color w:val="auto"/>
          <w:sz w:val="21"/>
          <w:szCs w:val="21"/>
        </w:rPr>
        <w:t xml:space="preserve"> </w:t>
      </w:r>
      <w:r w:rsidRPr="00C441DA">
        <w:rPr>
          <w:color w:val="auto"/>
          <w:sz w:val="21"/>
          <w:szCs w:val="21"/>
        </w:rPr>
        <w:t>son la totalidad de partidas del Capítulo 4000.</w:t>
      </w:r>
    </w:p>
    <w:p w:rsidR="000D7101" w:rsidRPr="00C441DA" w:rsidRDefault="000D7101" w:rsidP="000D7101">
      <w:pPr>
        <w:pStyle w:val="Default"/>
        <w:ind w:right="18"/>
        <w:rPr>
          <w:b/>
          <w:bCs/>
          <w:color w:val="auto"/>
          <w:sz w:val="21"/>
          <w:szCs w:val="21"/>
        </w:rPr>
      </w:pPr>
    </w:p>
    <w:p w:rsidR="000D7101" w:rsidRPr="00C441DA" w:rsidRDefault="000D7101" w:rsidP="000D7101">
      <w:pPr>
        <w:pStyle w:val="Default"/>
        <w:ind w:right="18"/>
        <w:rPr>
          <w:b/>
          <w:bCs/>
          <w:color w:val="auto"/>
          <w:sz w:val="21"/>
          <w:szCs w:val="21"/>
        </w:rPr>
      </w:pPr>
    </w:p>
    <w:p w:rsidR="000D7101" w:rsidRPr="00C441DA" w:rsidRDefault="000D7101" w:rsidP="000D7101">
      <w:pPr>
        <w:pStyle w:val="Default"/>
        <w:ind w:right="18"/>
        <w:jc w:val="both"/>
        <w:rPr>
          <w:color w:val="auto"/>
          <w:sz w:val="21"/>
          <w:szCs w:val="21"/>
        </w:rPr>
      </w:pPr>
      <w:r w:rsidRPr="00C441DA">
        <w:rPr>
          <w:b/>
          <w:color w:val="auto"/>
          <w:sz w:val="21"/>
          <w:szCs w:val="21"/>
        </w:rPr>
        <w:t xml:space="preserve">ARTÍCULO 46.- </w:t>
      </w:r>
      <w:r w:rsidRPr="00C441DA">
        <w:rPr>
          <w:color w:val="auto"/>
          <w:sz w:val="21"/>
          <w:szCs w:val="21"/>
        </w:rPr>
        <w:t xml:space="preserve">Para el ejercicio de este grupo de partidas las Dependencias y Unidades Ejecutoras del Gasto deberán observar lo siguiente: </w:t>
      </w:r>
    </w:p>
    <w:p w:rsidR="000D7101" w:rsidRPr="00C441DA" w:rsidRDefault="000D7101" w:rsidP="000D7101">
      <w:pPr>
        <w:pStyle w:val="Default"/>
        <w:ind w:right="18"/>
        <w:jc w:val="both"/>
        <w:rPr>
          <w:rFonts w:eastAsia="Arial"/>
          <w:color w:val="auto"/>
          <w:sz w:val="21"/>
          <w:szCs w:val="21"/>
        </w:rPr>
      </w:pPr>
    </w:p>
    <w:p w:rsidR="000D7101" w:rsidRPr="00C441DA" w:rsidRDefault="000D7101" w:rsidP="000D7101">
      <w:pPr>
        <w:pStyle w:val="Default"/>
        <w:ind w:right="18"/>
        <w:jc w:val="both"/>
        <w:rPr>
          <w:rFonts w:eastAsia="Arial"/>
          <w:color w:val="auto"/>
          <w:sz w:val="21"/>
          <w:szCs w:val="21"/>
        </w:rPr>
      </w:pPr>
      <w:r w:rsidRPr="00C441DA">
        <w:rPr>
          <w:rFonts w:eastAsia="Arial"/>
          <w:color w:val="auto"/>
          <w:sz w:val="21"/>
          <w:szCs w:val="21"/>
        </w:rPr>
        <w:t>I. Los programas sociales, para el desarrollo económico o asistencial se ejercerán de conformidad a las reglas de operación que autorice el Ayuntamiento para su ejercicio;</w:t>
      </w:r>
    </w:p>
    <w:p w:rsidR="000D7101" w:rsidRPr="00C441DA" w:rsidRDefault="000D7101" w:rsidP="000D7101">
      <w:pPr>
        <w:pStyle w:val="Default"/>
        <w:ind w:right="18"/>
        <w:jc w:val="both"/>
        <w:rPr>
          <w:rFonts w:eastAsia="Arial"/>
          <w:color w:val="auto"/>
          <w:sz w:val="21"/>
          <w:szCs w:val="21"/>
        </w:rPr>
      </w:pPr>
    </w:p>
    <w:p w:rsidR="000D7101" w:rsidRPr="00C441DA" w:rsidRDefault="000D7101" w:rsidP="000D7101">
      <w:pPr>
        <w:pStyle w:val="Default"/>
        <w:ind w:right="18"/>
        <w:jc w:val="both"/>
        <w:rPr>
          <w:rFonts w:eastAsia="Arial"/>
          <w:color w:val="auto"/>
          <w:sz w:val="21"/>
          <w:szCs w:val="21"/>
        </w:rPr>
      </w:pPr>
      <w:r w:rsidRPr="00C441DA">
        <w:rPr>
          <w:rFonts w:eastAsia="Arial"/>
          <w:color w:val="auto"/>
          <w:sz w:val="21"/>
          <w:szCs w:val="21"/>
        </w:rPr>
        <w:t>II. Los subsidios para la operación de las Entidades Paramunicipales u Organismos Intermunicipales, aprobados en el Presupuesto de Egresos, se transferirán en forma mensual o como indiquen los convenios administrativos que se celebren;</w:t>
      </w:r>
    </w:p>
    <w:p w:rsidR="000D7101" w:rsidRPr="00C441DA" w:rsidRDefault="000D7101" w:rsidP="000D7101">
      <w:pPr>
        <w:pStyle w:val="Default"/>
        <w:ind w:right="18"/>
        <w:jc w:val="both"/>
        <w:rPr>
          <w:rFonts w:eastAsia="Arial"/>
          <w:color w:val="auto"/>
          <w:sz w:val="21"/>
          <w:szCs w:val="21"/>
        </w:rPr>
      </w:pPr>
    </w:p>
    <w:p w:rsidR="000D7101" w:rsidRPr="00C441DA" w:rsidRDefault="000D7101" w:rsidP="000D7101">
      <w:pPr>
        <w:pStyle w:val="Default"/>
        <w:ind w:right="18"/>
        <w:jc w:val="both"/>
        <w:rPr>
          <w:rFonts w:eastAsia="Arial"/>
          <w:color w:val="auto"/>
          <w:sz w:val="21"/>
          <w:szCs w:val="21"/>
        </w:rPr>
      </w:pPr>
      <w:r w:rsidRPr="00C441DA">
        <w:rPr>
          <w:rFonts w:eastAsia="Arial"/>
          <w:color w:val="auto"/>
          <w:sz w:val="21"/>
          <w:szCs w:val="21"/>
        </w:rPr>
        <w:t>III. Los apoyos económicos para personas que soliciten la ayuda para eventos culturales, artísticos, fomento de tradiciones, deportivos, de mérito, auxilio póstumo, entre otros; se otorga</w:t>
      </w:r>
      <w:r>
        <w:rPr>
          <w:rFonts w:eastAsia="Arial"/>
          <w:color w:val="auto"/>
          <w:sz w:val="21"/>
          <w:szCs w:val="21"/>
        </w:rPr>
        <w:t>rán mediante autorización del</w:t>
      </w:r>
      <w:r w:rsidRPr="00C441DA">
        <w:rPr>
          <w:rFonts w:eastAsia="Arial"/>
          <w:color w:val="auto"/>
          <w:sz w:val="21"/>
          <w:szCs w:val="21"/>
        </w:rPr>
        <w:t xml:space="preserve"> Presidente Municipal, siempre y cuando dicho apoyo no supere las 700 </w:t>
      </w:r>
      <w:r w:rsidRPr="00C441DA">
        <w:rPr>
          <w:sz w:val="21"/>
          <w:szCs w:val="21"/>
        </w:rPr>
        <w:t>unidades de medida y actualización, en caso de ser superior dicha cantidad se requerirá autorización del Ayuntamiento del Municipio; y</w:t>
      </w:r>
    </w:p>
    <w:p w:rsidR="000D7101" w:rsidRPr="00C441DA" w:rsidRDefault="000D7101" w:rsidP="000D7101">
      <w:pPr>
        <w:pStyle w:val="Default"/>
        <w:ind w:right="18"/>
        <w:jc w:val="both"/>
        <w:rPr>
          <w:rFonts w:eastAsia="Arial"/>
          <w:color w:val="auto"/>
          <w:sz w:val="21"/>
          <w:szCs w:val="21"/>
        </w:rPr>
      </w:pPr>
    </w:p>
    <w:p w:rsidR="000D7101" w:rsidRPr="00C441DA" w:rsidRDefault="000D7101" w:rsidP="000D7101">
      <w:pPr>
        <w:pStyle w:val="Default"/>
        <w:ind w:right="18"/>
        <w:jc w:val="both"/>
        <w:rPr>
          <w:rFonts w:eastAsia="Arial"/>
          <w:color w:val="auto"/>
          <w:sz w:val="21"/>
          <w:szCs w:val="21"/>
        </w:rPr>
      </w:pPr>
      <w:r w:rsidRPr="00C441DA">
        <w:rPr>
          <w:rFonts w:eastAsia="Arial"/>
          <w:color w:val="auto"/>
          <w:sz w:val="21"/>
          <w:szCs w:val="21"/>
        </w:rPr>
        <w:lastRenderedPageBreak/>
        <w:t xml:space="preserve">IV. Las transferencias a Fideicomisos se efectuarán de conformidad a los Convenios celebrados. </w:t>
      </w:r>
    </w:p>
    <w:p w:rsidR="000D7101" w:rsidRPr="00C441DA" w:rsidRDefault="000D7101" w:rsidP="000D7101">
      <w:pPr>
        <w:pStyle w:val="Default"/>
        <w:ind w:right="18"/>
        <w:jc w:val="both"/>
        <w:rPr>
          <w:rFonts w:eastAsia="Arial"/>
          <w:color w:val="auto"/>
          <w:sz w:val="21"/>
          <w:szCs w:val="21"/>
        </w:rPr>
      </w:pPr>
      <w:r w:rsidRPr="00C441DA">
        <w:rPr>
          <w:rFonts w:eastAsia="Arial"/>
          <w:color w:val="auto"/>
          <w:sz w:val="21"/>
          <w:szCs w:val="21"/>
        </w:rPr>
        <w:t xml:space="preserve"> </w:t>
      </w:r>
    </w:p>
    <w:p w:rsidR="000D7101" w:rsidRPr="00C441DA" w:rsidRDefault="000D7101" w:rsidP="000D7101">
      <w:pPr>
        <w:pStyle w:val="Default"/>
        <w:ind w:right="18"/>
        <w:rPr>
          <w:sz w:val="21"/>
          <w:szCs w:val="21"/>
        </w:rPr>
      </w:pPr>
      <w:r w:rsidRPr="00C441DA">
        <w:rPr>
          <w:b/>
          <w:color w:val="auto"/>
          <w:sz w:val="21"/>
          <w:szCs w:val="21"/>
        </w:rPr>
        <w:t xml:space="preserve"> </w:t>
      </w:r>
    </w:p>
    <w:p w:rsidR="000D7101" w:rsidRPr="00E27867" w:rsidRDefault="000D7101" w:rsidP="000D7101">
      <w:pPr>
        <w:ind w:right="18"/>
        <w:jc w:val="center"/>
        <w:rPr>
          <w:rFonts w:ascii="Arial" w:hAnsi="Arial" w:cs="Arial"/>
          <w:b/>
          <w:color w:val="17365D"/>
          <w:sz w:val="21"/>
          <w:szCs w:val="21"/>
        </w:rPr>
      </w:pPr>
      <w:r w:rsidRPr="00C441DA">
        <w:rPr>
          <w:rFonts w:ascii="Arial" w:hAnsi="Arial" w:cs="Arial"/>
          <w:b/>
          <w:sz w:val="21"/>
          <w:szCs w:val="21"/>
        </w:rPr>
        <w:t>TÍTULO CUARTO</w:t>
      </w:r>
    </w:p>
    <w:p w:rsidR="000D7101" w:rsidRPr="00C441DA" w:rsidRDefault="000D7101" w:rsidP="000D7101">
      <w:pPr>
        <w:ind w:right="18"/>
        <w:jc w:val="center"/>
        <w:rPr>
          <w:rFonts w:ascii="Arial" w:hAnsi="Arial" w:cs="Arial"/>
          <w:b/>
          <w:sz w:val="21"/>
          <w:szCs w:val="21"/>
        </w:rPr>
      </w:pPr>
      <w:r w:rsidRPr="00C441DA">
        <w:rPr>
          <w:rFonts w:ascii="Arial" w:hAnsi="Arial" w:cs="Arial"/>
          <w:b/>
          <w:sz w:val="21"/>
          <w:szCs w:val="21"/>
        </w:rPr>
        <w:t>FONDO REVOLVENTE</w:t>
      </w:r>
    </w:p>
    <w:p w:rsidR="000D7101" w:rsidRPr="00C441DA" w:rsidRDefault="000D7101" w:rsidP="000D7101">
      <w:pPr>
        <w:ind w:right="18"/>
        <w:rPr>
          <w:rFonts w:ascii="Arial" w:hAnsi="Arial" w:cs="Arial"/>
          <w:sz w:val="21"/>
          <w:szCs w:val="21"/>
        </w:rPr>
      </w:pPr>
    </w:p>
    <w:p w:rsidR="000D7101" w:rsidRPr="00C441DA" w:rsidRDefault="000D7101" w:rsidP="000D7101">
      <w:pPr>
        <w:ind w:right="18"/>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ARTÍCULO 47.-</w:t>
      </w:r>
      <w:r w:rsidRPr="00C441DA">
        <w:rPr>
          <w:rFonts w:ascii="Arial" w:hAnsi="Arial" w:cs="Arial"/>
          <w:sz w:val="21"/>
          <w:szCs w:val="21"/>
        </w:rPr>
        <w:t xml:space="preserve"> El fondo revolvente es un mecanismo para el ejercicio del gasto que tiene por objeto el apoyar a las Dependencias, Unidades Ejecutoras del Gasto y Entidades Paramunicipales que por la naturaleza de su función, requieren de realizar erogaciones en gasto corriente, evitar la suspensión de su funcionamiento ordinario por eventos de caso fortuito o de fuerza mayor durante el ejercicio fiscal, sujeto a las restricciones previstas por la legislación en materia de compras gubernamentales.</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Las Entidades Paramunicipales podrán determinar en sus Presupuestos de Egresos los montos de los fondos revolventes y ejercerse por sus Áreas encargadas de su hacienda con cargo a sus asignaciones presupuestales y cumpliendo con las disposiciones y restricciones que determine la legislación y normatividad que los rige o su órgano de gobierno.</w:t>
      </w:r>
    </w:p>
    <w:p w:rsidR="000D7101" w:rsidRPr="00C441DA" w:rsidRDefault="000D7101" w:rsidP="000D7101">
      <w:pPr>
        <w:ind w:right="18"/>
        <w:jc w:val="both"/>
        <w:rPr>
          <w:rFonts w:ascii="Arial" w:hAnsi="Arial" w:cs="Arial"/>
          <w:color w:val="FF0000"/>
          <w:sz w:val="21"/>
          <w:szCs w:val="21"/>
        </w:rPr>
      </w:pPr>
      <w:r w:rsidRPr="00C441DA">
        <w:rPr>
          <w:rFonts w:ascii="Arial" w:hAnsi="Arial" w:cs="Arial"/>
          <w:sz w:val="21"/>
          <w:szCs w:val="21"/>
        </w:rPr>
        <w:t xml:space="preserve"> </w:t>
      </w:r>
    </w:p>
    <w:p w:rsidR="000D7101" w:rsidRPr="00C441DA" w:rsidRDefault="000D7101" w:rsidP="000D7101">
      <w:pPr>
        <w:ind w:right="18"/>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ARTÍCULO 48.-</w:t>
      </w:r>
      <w:r w:rsidRPr="00C441DA">
        <w:rPr>
          <w:rFonts w:ascii="Arial" w:hAnsi="Arial" w:cs="Arial"/>
          <w:sz w:val="21"/>
          <w:szCs w:val="21"/>
        </w:rPr>
        <w:t xml:space="preserve"> El monto del fondo revolvente es de hasta su equivalente en 265 unidades de medida y actualización, incluyendo impuestos y por su objeto se divide en los siguientes:</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I.- Gastos a comprobar; y</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II.- Viáticos para viajes oficiales.</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ARTÍCULO 49.-</w:t>
      </w:r>
      <w:r w:rsidRPr="00C441DA">
        <w:rPr>
          <w:rFonts w:ascii="Arial" w:hAnsi="Arial" w:cs="Arial"/>
          <w:sz w:val="21"/>
          <w:szCs w:val="21"/>
        </w:rPr>
        <w:t xml:space="preserve"> Para la asignación del fondo revolvente se deberá cumplir con los requisitos siguientes:</w:t>
      </w:r>
    </w:p>
    <w:p w:rsidR="000D7101" w:rsidRPr="00C441DA" w:rsidRDefault="000D7101" w:rsidP="000D7101">
      <w:pPr>
        <w:ind w:right="18"/>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I.- Para el caso de la administración pública centralizada:</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 xml:space="preserve">a) La Dependencia </w:t>
      </w:r>
      <w:r w:rsidRPr="0008332B">
        <w:rPr>
          <w:rFonts w:ascii="Arial" w:hAnsi="Arial" w:cs="Arial"/>
          <w:sz w:val="21"/>
          <w:szCs w:val="21"/>
        </w:rPr>
        <w:t>o</w:t>
      </w:r>
      <w:r w:rsidRPr="00C441DA">
        <w:rPr>
          <w:rFonts w:ascii="Arial" w:hAnsi="Arial" w:cs="Arial"/>
          <w:b/>
          <w:sz w:val="21"/>
          <w:szCs w:val="21"/>
        </w:rPr>
        <w:t xml:space="preserve"> </w:t>
      </w:r>
      <w:r w:rsidRPr="00C441DA">
        <w:rPr>
          <w:rFonts w:ascii="Arial" w:hAnsi="Arial" w:cs="Arial"/>
          <w:sz w:val="21"/>
          <w:szCs w:val="21"/>
        </w:rPr>
        <w:t xml:space="preserve">la Unidad Ejecutora del Gasto en materia de protección civil o atención médica, en caso de desastres o emergencias sanitarias, solicitará a la Tesorería la autorización de constituir el fondo revolvente; </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b) Dentro del oficio establecerá el monto solicitado, su justificación, nombre y puesto de la persona que será responsable del mismo, número de empleado, lugar físico de su trabajo y domicilio particular;</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c) Se capturará en el Sistema la solicitud, se imprimirá contra recibo de orden de pago especial, recibo de efectivo y se suscribirá pagaré correspondiente que quedará bajo resguardo de la Tesorería, hasta su comprobación y devolución o en su defecto su cobro; y</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d) La Tesorería evaluará la procedencia de la solicitud del mismo y notificará de la autorización del monto asignado o el rechazo del mismo.</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II.- Para el caso de Entidades Paramunicipales:</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a) En principio los fondos revolventes están restringidos para las áreas de segundo nivel e inferiores según las estructuras administrativas que marque la normatividad de las Entidades Paramunicipales, salvo una previa justificación y acuerdo de su órgano de gobierno;</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b) El Área encargada de la hacienda de la Entidad Paramunicipal, constituirá los fondos revolventes autorizados por los órganos de gobierno en sus Presupuestos de Egresos, estableciendo el monto solicitado, el nombre completo y puesto de la persona que será responsable del mismo, número de empleado y lugar físico de su trabajo; y</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 xml:space="preserve">c) Se capturará en el Sistema la solicitud, se imprimirá contra recibo de orden de pago especial, recibo de efectivo y se suscribirá pagaré correspondiente que quedará bajo resguardo del Área encargada de la hacienda de la Entidad Paramunicipal, hasta su comprobación y devolución o en su defecto su cobro. </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rPr>
          <w:rFonts w:ascii="Arial" w:hAnsi="Arial" w:cs="Arial"/>
          <w:b/>
          <w:sz w:val="21"/>
          <w:szCs w:val="21"/>
        </w:rPr>
      </w:pPr>
    </w:p>
    <w:p w:rsidR="000D7101" w:rsidRPr="00C441DA" w:rsidRDefault="000D7101" w:rsidP="000D7101">
      <w:pPr>
        <w:ind w:right="18"/>
        <w:rPr>
          <w:rFonts w:ascii="Arial" w:hAnsi="Arial" w:cs="Arial"/>
          <w:sz w:val="21"/>
          <w:szCs w:val="21"/>
        </w:rPr>
      </w:pPr>
      <w:r w:rsidRPr="00C441DA">
        <w:rPr>
          <w:rFonts w:ascii="Arial" w:hAnsi="Arial" w:cs="Arial"/>
          <w:b/>
          <w:sz w:val="21"/>
          <w:szCs w:val="21"/>
        </w:rPr>
        <w:t xml:space="preserve">ARTÍCULO 50.- </w:t>
      </w:r>
      <w:r w:rsidRPr="00C441DA">
        <w:rPr>
          <w:rFonts w:ascii="Arial" w:hAnsi="Arial" w:cs="Arial"/>
          <w:sz w:val="21"/>
          <w:szCs w:val="21"/>
        </w:rPr>
        <w:t xml:space="preserve">Los fondos revolventes se sujetarán a las condicionantes siguientes: </w:t>
      </w:r>
    </w:p>
    <w:p w:rsidR="000D7101" w:rsidRPr="00C441DA" w:rsidRDefault="000D7101" w:rsidP="000D7101">
      <w:pPr>
        <w:ind w:right="18"/>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I.- Para el caso de la administración pública centralizada:</w:t>
      </w:r>
    </w:p>
    <w:p w:rsidR="000D7101" w:rsidRPr="00C441DA" w:rsidRDefault="000D7101" w:rsidP="000D7101">
      <w:pPr>
        <w:ind w:right="18"/>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 xml:space="preserve">a) El titular de la Dependencia o la persona que éste autorice a administrar el fondo revolvente firmará un pagaré y quedará registrado en la contabilidad como un deudor del erario; </w:t>
      </w:r>
    </w:p>
    <w:p w:rsidR="000D7101" w:rsidRPr="00C441DA" w:rsidRDefault="000D7101" w:rsidP="000D7101">
      <w:pPr>
        <w:pStyle w:val="Prrafodelista"/>
        <w:ind w:left="426" w:right="18"/>
        <w:jc w:val="both"/>
        <w:rPr>
          <w:rFonts w:ascii="Arial" w:hAnsi="Arial" w:cs="Arial"/>
          <w:sz w:val="21"/>
          <w:szCs w:val="21"/>
        </w:rPr>
      </w:pPr>
    </w:p>
    <w:p w:rsidR="000D7101" w:rsidRPr="00C441DA" w:rsidRDefault="000D7101" w:rsidP="000D7101">
      <w:pPr>
        <w:pStyle w:val="Default"/>
        <w:ind w:right="18"/>
        <w:jc w:val="both"/>
        <w:rPr>
          <w:bCs/>
          <w:color w:val="auto"/>
          <w:sz w:val="21"/>
          <w:szCs w:val="21"/>
        </w:rPr>
      </w:pPr>
      <w:r w:rsidRPr="00C441DA">
        <w:rPr>
          <w:sz w:val="21"/>
          <w:szCs w:val="21"/>
        </w:rPr>
        <w:t>b) C</w:t>
      </w:r>
      <w:r w:rsidRPr="00C441DA">
        <w:rPr>
          <w:color w:val="auto"/>
          <w:sz w:val="21"/>
          <w:szCs w:val="21"/>
        </w:rPr>
        <w:t xml:space="preserve">uando el monto de la adquisición sobrepase el </w:t>
      </w:r>
      <w:r w:rsidRPr="00C441DA">
        <w:rPr>
          <w:sz w:val="21"/>
          <w:szCs w:val="21"/>
        </w:rPr>
        <w:t>equivalente a 26.5 unidades de medida y actualización,</w:t>
      </w:r>
      <w:r w:rsidRPr="00C441DA">
        <w:rPr>
          <w:color w:val="auto"/>
          <w:sz w:val="21"/>
          <w:szCs w:val="21"/>
        </w:rPr>
        <w:t xml:space="preserve"> incluyendo impuestos,</w:t>
      </w:r>
      <w:r w:rsidRPr="00C441DA">
        <w:rPr>
          <w:sz w:val="21"/>
          <w:szCs w:val="21"/>
        </w:rPr>
        <w:t xml:space="preserve"> en las denominadas partidas ordinarias, la Dependencia </w:t>
      </w:r>
      <w:r w:rsidRPr="00C441DA">
        <w:rPr>
          <w:color w:val="auto"/>
          <w:sz w:val="21"/>
          <w:szCs w:val="21"/>
        </w:rPr>
        <w:t>solicitar</w:t>
      </w:r>
      <w:r w:rsidRPr="00C441DA">
        <w:rPr>
          <w:sz w:val="21"/>
          <w:szCs w:val="21"/>
        </w:rPr>
        <w:t xml:space="preserve">á </w:t>
      </w:r>
      <w:r w:rsidRPr="00C441DA">
        <w:rPr>
          <w:color w:val="auto"/>
          <w:sz w:val="21"/>
          <w:szCs w:val="21"/>
        </w:rPr>
        <w:t xml:space="preserve">a la adquisición ante la </w:t>
      </w:r>
      <w:r w:rsidRPr="00C441DA">
        <w:rPr>
          <w:bCs/>
          <w:color w:val="auto"/>
          <w:sz w:val="21"/>
          <w:szCs w:val="21"/>
        </w:rPr>
        <w:t>Coordinación General de Administración e Innovación Gubernamental, por conducto de la Dirección de Recursos Materiales, mediante el uso del Sistema;</w:t>
      </w:r>
    </w:p>
    <w:p w:rsidR="000D7101" w:rsidRPr="00C441DA" w:rsidRDefault="000D7101" w:rsidP="000D7101">
      <w:pPr>
        <w:pStyle w:val="Default"/>
        <w:ind w:right="18"/>
        <w:jc w:val="both"/>
        <w:rPr>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c) Cuando el monto de la adquisición sobrepase el equivalente a 265 unidades de medida y actualización, incluyendo impuestos, en las denominadas partidas especiales, la Dependencia lo solicitará de manera fundada y motivada a la Tesorería previamente al compromiso, y ésta resolverá sobre la ampliación fijando el monto máximo del fondo revolvente, hasta por el límite establecido en las asignaciones presupuestales autorizadas para dicha Dependencia;</w:t>
      </w:r>
    </w:p>
    <w:p w:rsidR="000D7101" w:rsidRPr="00C441DA" w:rsidRDefault="000D7101" w:rsidP="000D7101">
      <w:pPr>
        <w:pStyle w:val="Prrafodelista"/>
        <w:ind w:left="426"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 xml:space="preserve">d) La Tesorería evaluará la solicitud, notificando la autorización del monto a ejecutar o el rechazo del mismo; </w:t>
      </w:r>
    </w:p>
    <w:p w:rsidR="000D7101" w:rsidRPr="00C441DA" w:rsidRDefault="000D7101" w:rsidP="000D7101">
      <w:pPr>
        <w:pStyle w:val="Prrafodelista"/>
        <w:ind w:left="426" w:right="18"/>
        <w:jc w:val="both"/>
        <w:rPr>
          <w:rFonts w:ascii="Arial" w:hAnsi="Arial" w:cs="Arial"/>
          <w:sz w:val="21"/>
          <w:szCs w:val="21"/>
        </w:rPr>
      </w:pPr>
    </w:p>
    <w:p w:rsidR="000D7101" w:rsidRPr="00C441DA" w:rsidRDefault="000D7101" w:rsidP="000D7101">
      <w:pPr>
        <w:pStyle w:val="Default"/>
        <w:ind w:right="18"/>
        <w:jc w:val="both"/>
        <w:rPr>
          <w:sz w:val="21"/>
          <w:szCs w:val="21"/>
        </w:rPr>
      </w:pPr>
      <w:r w:rsidRPr="00C441DA">
        <w:rPr>
          <w:color w:val="auto"/>
          <w:sz w:val="21"/>
          <w:szCs w:val="21"/>
        </w:rPr>
        <w:t xml:space="preserve">e) En caso que la Tesorería haya rechazado ejercer el fondo revolvente, la Dependencia deberá llevar los procedimientos para la adquisición que requiera ante la </w:t>
      </w:r>
      <w:r w:rsidRPr="00C441DA">
        <w:rPr>
          <w:bCs/>
          <w:color w:val="auto"/>
          <w:sz w:val="21"/>
          <w:szCs w:val="21"/>
        </w:rPr>
        <w:t>Coordinación General de Administración e Innovación Gubernamental, por conducto de la Dirección de Recursos Materiales, mediante el uso del Sistema;</w:t>
      </w:r>
    </w:p>
    <w:p w:rsidR="000D7101" w:rsidRPr="00C441DA" w:rsidRDefault="000D7101" w:rsidP="000D7101">
      <w:pPr>
        <w:pStyle w:val="Default"/>
        <w:ind w:left="426" w:right="18"/>
        <w:jc w:val="both"/>
        <w:rPr>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f) En el caso de falta o insuficiente comprobación, que se destine a compras que correspondan a partidas que no tenga autorizadas ejercerse mediante el fondo revolvente  u otros malos manejos, se cancelará el fondo revolvente, dando aviso a la Contraloría para proceder conforme a derecho corresponda, por lo que la Dependencia deberá solicitar nuevamente la autorización del fondo revolvente cumpliendo con las medidas de control presupuestal preventivas que dicte la Tesorería;</w:t>
      </w:r>
    </w:p>
    <w:p w:rsidR="000D7101" w:rsidRPr="00C441DA" w:rsidRDefault="000D7101" w:rsidP="000D7101">
      <w:pPr>
        <w:pStyle w:val="Prrafodelista"/>
        <w:ind w:left="426"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lastRenderedPageBreak/>
        <w:t>g) El fondo revolvente será asignado única y exclusivamente para su ejercicio de manera anual, por lo tanto, deberá reintegrarse y comprobarse en su totalidad antes del último día hábil de noviembre de cada año. Al inicio del nuevo ejercicio fiscal deberá de procederse nuevamente a solicitar la constitución de los mismos; y</w:t>
      </w:r>
    </w:p>
    <w:p w:rsidR="000D7101" w:rsidRPr="00C441DA" w:rsidRDefault="000D7101" w:rsidP="000D7101">
      <w:pPr>
        <w:pStyle w:val="Prrafodelista"/>
        <w:ind w:left="426"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h) Por motivos fiscales, entre otros, la Tesorería podrá realizar el pago directamente al proveedor.</w:t>
      </w:r>
    </w:p>
    <w:p w:rsidR="000D7101" w:rsidRPr="00C441DA" w:rsidRDefault="000D7101" w:rsidP="000D7101">
      <w:pPr>
        <w:ind w:right="18"/>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II.- Para el caso de Entidades Paramunicipales:</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a) El Área encargada de la hacienda de la Entidad Paramunicipal informará a su órgano de gobierno sobre la constitución y ejercicio de los fondos revolventes, el nombre completo y puesto de la persona que será responsable del mismo, número de empleado, lugar físico de su trabajo y domicilio particular;</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 xml:space="preserve">b) El Área encargada de la hacienda de la Entidad Paramunicipal administrará los fondos revolventes y su titular firmará los pagarés que quedarán registrados en la contabilidad como un deudor de los mismos; </w:t>
      </w:r>
    </w:p>
    <w:p w:rsidR="000D7101" w:rsidRPr="00C441DA" w:rsidRDefault="000D7101" w:rsidP="000D7101">
      <w:pPr>
        <w:pStyle w:val="Prrafodelista"/>
        <w:ind w:left="426" w:right="18"/>
        <w:jc w:val="both"/>
        <w:rPr>
          <w:rFonts w:ascii="Arial" w:hAnsi="Arial" w:cs="Arial"/>
          <w:sz w:val="21"/>
          <w:szCs w:val="21"/>
        </w:rPr>
      </w:pPr>
    </w:p>
    <w:p w:rsidR="000D7101" w:rsidRPr="00C441DA" w:rsidRDefault="000D7101" w:rsidP="000D7101">
      <w:pPr>
        <w:pStyle w:val="Default"/>
        <w:ind w:right="18"/>
        <w:jc w:val="both"/>
        <w:rPr>
          <w:sz w:val="21"/>
          <w:szCs w:val="21"/>
        </w:rPr>
      </w:pPr>
      <w:r w:rsidRPr="00C441DA">
        <w:rPr>
          <w:sz w:val="21"/>
          <w:szCs w:val="21"/>
        </w:rPr>
        <w:t>c) C</w:t>
      </w:r>
      <w:r w:rsidRPr="00C441DA">
        <w:rPr>
          <w:color w:val="auto"/>
          <w:sz w:val="21"/>
          <w:szCs w:val="21"/>
        </w:rPr>
        <w:t xml:space="preserve">uando el monto de la adquisición sobrepase el </w:t>
      </w:r>
      <w:r w:rsidRPr="00C441DA">
        <w:rPr>
          <w:sz w:val="21"/>
          <w:szCs w:val="21"/>
        </w:rPr>
        <w:t>equivalente a 26.5 unidades de medida y actualización,</w:t>
      </w:r>
      <w:r w:rsidRPr="00C441DA">
        <w:rPr>
          <w:color w:val="auto"/>
          <w:sz w:val="21"/>
          <w:szCs w:val="21"/>
        </w:rPr>
        <w:t xml:space="preserve"> incluyendo impuestos,</w:t>
      </w:r>
      <w:r w:rsidRPr="00C441DA">
        <w:rPr>
          <w:sz w:val="21"/>
          <w:szCs w:val="21"/>
        </w:rPr>
        <w:t xml:space="preserve"> en las denominadas partidas ordinarias, las áreas de la Entidad Paramunicipal: </w:t>
      </w:r>
    </w:p>
    <w:p w:rsidR="000D7101" w:rsidRPr="00C441DA" w:rsidRDefault="000D7101" w:rsidP="000D7101">
      <w:pPr>
        <w:pStyle w:val="Default"/>
        <w:ind w:right="18"/>
        <w:jc w:val="both"/>
        <w:rPr>
          <w:sz w:val="21"/>
          <w:szCs w:val="21"/>
        </w:rPr>
      </w:pPr>
    </w:p>
    <w:p w:rsidR="000D7101" w:rsidRPr="00C441DA" w:rsidRDefault="000D7101" w:rsidP="000D7101">
      <w:pPr>
        <w:pStyle w:val="Default"/>
        <w:ind w:right="18"/>
        <w:jc w:val="both"/>
        <w:rPr>
          <w:sz w:val="21"/>
          <w:szCs w:val="21"/>
        </w:rPr>
      </w:pPr>
      <w:r w:rsidRPr="00C441DA">
        <w:rPr>
          <w:sz w:val="21"/>
          <w:szCs w:val="21"/>
        </w:rPr>
        <w:t>1.- En principio, el Área encargada de la hacienda de la Entidad Paramunicipal s</w:t>
      </w:r>
      <w:r w:rsidRPr="00C441DA">
        <w:rPr>
          <w:color w:val="auto"/>
          <w:sz w:val="21"/>
          <w:szCs w:val="21"/>
        </w:rPr>
        <w:t>olicitar</w:t>
      </w:r>
      <w:r w:rsidRPr="00C441DA">
        <w:rPr>
          <w:sz w:val="21"/>
          <w:szCs w:val="21"/>
        </w:rPr>
        <w:t xml:space="preserve">á </w:t>
      </w:r>
      <w:r w:rsidRPr="00C441DA">
        <w:rPr>
          <w:color w:val="auto"/>
          <w:sz w:val="21"/>
          <w:szCs w:val="21"/>
        </w:rPr>
        <w:t xml:space="preserve">a la adquisición ante </w:t>
      </w:r>
      <w:r w:rsidRPr="00C441DA">
        <w:rPr>
          <w:bCs/>
          <w:color w:val="auto"/>
          <w:sz w:val="21"/>
          <w:szCs w:val="21"/>
        </w:rPr>
        <w:t>su unidad centralizada de compras, mediante el uso del Sistema;</w:t>
      </w:r>
    </w:p>
    <w:p w:rsidR="000D7101" w:rsidRPr="00C441DA" w:rsidRDefault="000D7101" w:rsidP="000D7101">
      <w:pPr>
        <w:pStyle w:val="Default"/>
        <w:ind w:right="18"/>
        <w:jc w:val="both"/>
        <w:rPr>
          <w:sz w:val="21"/>
          <w:szCs w:val="21"/>
        </w:rPr>
      </w:pPr>
    </w:p>
    <w:p w:rsidR="000D7101" w:rsidRPr="00C441DA" w:rsidRDefault="000D7101" w:rsidP="000D7101">
      <w:pPr>
        <w:pStyle w:val="Default"/>
        <w:ind w:right="18"/>
        <w:jc w:val="both"/>
        <w:rPr>
          <w:bCs/>
          <w:color w:val="auto"/>
          <w:sz w:val="21"/>
          <w:szCs w:val="21"/>
        </w:rPr>
      </w:pPr>
      <w:r w:rsidRPr="00C441DA">
        <w:rPr>
          <w:sz w:val="21"/>
          <w:szCs w:val="21"/>
        </w:rPr>
        <w:t>2.- En caso de contar con convenio de colaboración en materia de adquisiciones con el Municipio, el Área encargada de la hacienda de la Entidad Paramunicipal s</w:t>
      </w:r>
      <w:r w:rsidRPr="00C441DA">
        <w:rPr>
          <w:color w:val="auto"/>
          <w:sz w:val="21"/>
          <w:szCs w:val="21"/>
        </w:rPr>
        <w:t>olicitar</w:t>
      </w:r>
      <w:r w:rsidRPr="00C441DA">
        <w:rPr>
          <w:sz w:val="21"/>
          <w:szCs w:val="21"/>
        </w:rPr>
        <w:t xml:space="preserve">á </w:t>
      </w:r>
      <w:r w:rsidRPr="00C441DA">
        <w:rPr>
          <w:color w:val="auto"/>
          <w:sz w:val="21"/>
          <w:szCs w:val="21"/>
        </w:rPr>
        <w:t xml:space="preserve">a la adquisición ante la </w:t>
      </w:r>
      <w:r w:rsidRPr="00C441DA">
        <w:rPr>
          <w:bCs/>
          <w:color w:val="auto"/>
          <w:sz w:val="21"/>
          <w:szCs w:val="21"/>
        </w:rPr>
        <w:t>Coordinación General de Administración e Innovación Gubernamental, por conducto de la Dirección de Recursos Materiales, mediante el uso del Sistema;</w:t>
      </w:r>
    </w:p>
    <w:p w:rsidR="000D7101" w:rsidRPr="00C441DA" w:rsidRDefault="000D7101" w:rsidP="000D7101">
      <w:pPr>
        <w:pStyle w:val="Default"/>
        <w:ind w:right="18"/>
        <w:jc w:val="both"/>
        <w:rPr>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d) Cuando el monto de la adquisición sobrepase el equivalente a 265 unidades de medida y actualización, incluyendo impuestos, en las denominadas partidas especiales, las áreas de la Entidad Paramunicipal se lo solicitarán al Área encargada de la hacienda de la misma de manera fundada y motivada previamente al compromiso, y ésta resolverá sobre la ampliación fijando el monto máximo del fondo revolvente, hasta por el límite establecido en las asignaciones presupuestales autorizadas para dichas áreas;</w:t>
      </w:r>
    </w:p>
    <w:p w:rsidR="000D7101" w:rsidRPr="00C441DA" w:rsidRDefault="000D7101" w:rsidP="000D7101">
      <w:pPr>
        <w:pStyle w:val="Prrafodelista"/>
        <w:ind w:left="426"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 xml:space="preserve">e) El Área encargada de la hacienda de la Entidad Paramunicipal evaluará la solicitud, notificando la autorización del monto a ejecutar o el rechazo del mismo a la solicitante y a su superior jerárquico; </w:t>
      </w:r>
    </w:p>
    <w:p w:rsidR="000D7101" w:rsidRPr="00C441DA" w:rsidRDefault="000D7101" w:rsidP="000D7101">
      <w:pPr>
        <w:pStyle w:val="Prrafodelista"/>
        <w:ind w:left="426" w:right="18"/>
        <w:jc w:val="both"/>
        <w:rPr>
          <w:rFonts w:ascii="Arial" w:hAnsi="Arial" w:cs="Arial"/>
          <w:sz w:val="21"/>
          <w:szCs w:val="21"/>
        </w:rPr>
      </w:pPr>
    </w:p>
    <w:p w:rsidR="000D7101" w:rsidRPr="00C441DA" w:rsidRDefault="000D7101" w:rsidP="000D7101">
      <w:pPr>
        <w:pStyle w:val="Default"/>
        <w:ind w:right="18"/>
        <w:jc w:val="both"/>
        <w:rPr>
          <w:sz w:val="21"/>
          <w:szCs w:val="21"/>
        </w:rPr>
      </w:pPr>
      <w:r w:rsidRPr="00C441DA">
        <w:rPr>
          <w:color w:val="auto"/>
          <w:sz w:val="21"/>
          <w:szCs w:val="21"/>
        </w:rPr>
        <w:t xml:space="preserve">f) En caso que el </w:t>
      </w:r>
      <w:r w:rsidRPr="00C441DA">
        <w:rPr>
          <w:sz w:val="21"/>
          <w:szCs w:val="21"/>
        </w:rPr>
        <w:t>Área encargada de la hacienda de la Entidad Paramunicipal</w:t>
      </w:r>
      <w:r w:rsidRPr="00C441DA">
        <w:rPr>
          <w:color w:val="auto"/>
          <w:sz w:val="21"/>
          <w:szCs w:val="21"/>
        </w:rPr>
        <w:t xml:space="preserve"> haya rechazado ejercer el fondo revolvente, las áreas de la Entidad Paramunicipal deberán llevar los procedimientos para la adquisición que requiera en los términos establecidos en los puntos 1 y 2 del inciso b) de la presente fracción</w:t>
      </w:r>
      <w:r w:rsidRPr="00C441DA">
        <w:rPr>
          <w:bCs/>
          <w:color w:val="auto"/>
          <w:sz w:val="21"/>
          <w:szCs w:val="21"/>
        </w:rPr>
        <w:t>;</w:t>
      </w:r>
    </w:p>
    <w:p w:rsidR="000D7101" w:rsidRPr="00C441DA" w:rsidRDefault="000D7101" w:rsidP="000D7101">
      <w:pPr>
        <w:pStyle w:val="Default"/>
        <w:ind w:left="426" w:right="18"/>
        <w:jc w:val="both"/>
        <w:rPr>
          <w:sz w:val="21"/>
          <w:szCs w:val="21"/>
        </w:rPr>
      </w:pPr>
    </w:p>
    <w:p w:rsidR="000D7101" w:rsidRPr="00C441DA" w:rsidRDefault="000D7101" w:rsidP="000D7101">
      <w:pPr>
        <w:ind w:right="18"/>
        <w:jc w:val="both"/>
        <w:rPr>
          <w:rFonts w:ascii="Arial" w:hAnsi="Arial" w:cs="Arial"/>
          <w:sz w:val="21"/>
          <w:szCs w:val="21"/>
        </w:rPr>
      </w:pPr>
      <w:r w:rsidRPr="00010C71">
        <w:rPr>
          <w:rFonts w:ascii="Arial" w:hAnsi="Arial" w:cs="Arial"/>
          <w:sz w:val="21"/>
          <w:szCs w:val="21"/>
        </w:rPr>
        <w:t>g)</w:t>
      </w:r>
      <w:r w:rsidRPr="00C441DA">
        <w:rPr>
          <w:rFonts w:ascii="Arial" w:hAnsi="Arial" w:cs="Arial"/>
          <w:sz w:val="21"/>
          <w:szCs w:val="21"/>
        </w:rPr>
        <w:t xml:space="preserve"> En el caso de falta o insuficiente comprobación, que se destine a compras que correspondan a partidas que no tenga autorizadas ejercerse mediante el fondo revolvente  u otros malos manejos, se cancelará el fondo revolvente, dando aviso al órgano de control que </w:t>
      </w:r>
      <w:r w:rsidRPr="00C441DA">
        <w:rPr>
          <w:rFonts w:ascii="Arial" w:hAnsi="Arial" w:cs="Arial"/>
          <w:sz w:val="21"/>
          <w:szCs w:val="21"/>
        </w:rPr>
        <w:lastRenderedPageBreak/>
        <w:t>corresponda para proceder conforme a derecho corresponda, por lo que el área de la Entidad Paramunicipal deberá solicitar nuevamente la autorización del fondo revolvente cumpliendo con las medidas de control presupuestal preventivas que dicte la Área encargada de la hacienda de la misma;</w:t>
      </w:r>
    </w:p>
    <w:p w:rsidR="000D7101" w:rsidRPr="00C441DA" w:rsidRDefault="000D7101" w:rsidP="000D7101">
      <w:pPr>
        <w:pStyle w:val="Prrafodelista"/>
        <w:ind w:left="426"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010C71">
        <w:rPr>
          <w:rFonts w:ascii="Arial" w:hAnsi="Arial" w:cs="Arial"/>
          <w:sz w:val="21"/>
          <w:szCs w:val="21"/>
        </w:rPr>
        <w:t>h)</w:t>
      </w:r>
      <w:r w:rsidRPr="00C441DA">
        <w:rPr>
          <w:rFonts w:ascii="Arial" w:hAnsi="Arial" w:cs="Arial"/>
          <w:sz w:val="21"/>
          <w:szCs w:val="21"/>
        </w:rPr>
        <w:t xml:space="preserve"> El fondo revolvente será asignado única y exclusivamente para su ejercicio de manera anual, por lo tanto, deberá reintegrarse y comprobarse en su totalidad antes del último día hábil de noviembre de cada año. Al inicio del nuevo ejercicio fiscal deberá de procederse nuevamente a solicitar la constitución de los mismos; y</w:t>
      </w:r>
    </w:p>
    <w:p w:rsidR="000D7101" w:rsidRPr="00C441DA" w:rsidRDefault="000D7101" w:rsidP="000D7101">
      <w:pPr>
        <w:pStyle w:val="Prrafodelista"/>
        <w:ind w:left="426"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010C71">
        <w:rPr>
          <w:rFonts w:ascii="Arial" w:hAnsi="Arial" w:cs="Arial"/>
          <w:sz w:val="21"/>
          <w:szCs w:val="21"/>
        </w:rPr>
        <w:t>i)</w:t>
      </w:r>
      <w:r w:rsidRPr="00C441DA">
        <w:rPr>
          <w:rFonts w:ascii="Arial" w:hAnsi="Arial" w:cs="Arial"/>
          <w:sz w:val="21"/>
          <w:szCs w:val="21"/>
        </w:rPr>
        <w:t xml:space="preserve"> Por motivos fiscales, entre otros, el Área encargada de la hacienda de la Entidad Paramunicipal podrá realizar el pago directamente al proveedor.</w:t>
      </w:r>
    </w:p>
    <w:p w:rsidR="000D7101" w:rsidRPr="00C441DA" w:rsidRDefault="000D7101" w:rsidP="000D7101">
      <w:pPr>
        <w:ind w:right="18"/>
        <w:rPr>
          <w:rFonts w:ascii="Arial" w:hAnsi="Arial" w:cs="Arial"/>
          <w:sz w:val="21"/>
          <w:szCs w:val="21"/>
        </w:rPr>
      </w:pPr>
    </w:p>
    <w:p w:rsidR="000D7101" w:rsidRPr="00C441DA" w:rsidRDefault="000D7101" w:rsidP="000D7101">
      <w:pPr>
        <w:ind w:right="18"/>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 xml:space="preserve">ARTÍCULO 51.- </w:t>
      </w:r>
      <w:r w:rsidRPr="00C441DA">
        <w:rPr>
          <w:rFonts w:ascii="Arial" w:hAnsi="Arial" w:cs="Arial"/>
          <w:sz w:val="21"/>
          <w:szCs w:val="21"/>
        </w:rPr>
        <w:t>Conforme se vaya ejerciendo su monto autorizado, el responsable del mismo deberá programar su reembolso para contar siempre con efectivo. Para solicitar su reposición, deberá presentar los documentos de comprobación mediante oficio a la Tesorería y para las Entidades Paramunicipales deberán presentarlos antes sus respectivas áreas encargadas de su hacienda o bajo el convenio de coordinación con el Municipio en materia de adquisiciones.</w:t>
      </w:r>
    </w:p>
    <w:p w:rsidR="000D7101" w:rsidRPr="00C441DA" w:rsidRDefault="000D7101" w:rsidP="000D7101">
      <w:pPr>
        <w:ind w:right="18"/>
        <w:rPr>
          <w:rFonts w:ascii="Arial" w:hAnsi="Arial" w:cs="Arial"/>
          <w:sz w:val="21"/>
          <w:szCs w:val="21"/>
        </w:rPr>
      </w:pPr>
    </w:p>
    <w:p w:rsidR="000D7101" w:rsidRPr="00C441DA" w:rsidRDefault="000D7101" w:rsidP="000D7101">
      <w:pPr>
        <w:pStyle w:val="Default"/>
        <w:ind w:right="18"/>
        <w:jc w:val="both"/>
        <w:rPr>
          <w:b/>
          <w:sz w:val="21"/>
          <w:szCs w:val="21"/>
        </w:rPr>
      </w:pPr>
    </w:p>
    <w:p w:rsidR="000D7101" w:rsidRPr="00C441DA" w:rsidRDefault="000D7101" w:rsidP="000D7101">
      <w:pPr>
        <w:pStyle w:val="Default"/>
        <w:ind w:right="18"/>
        <w:jc w:val="both"/>
        <w:rPr>
          <w:sz w:val="21"/>
          <w:szCs w:val="21"/>
        </w:rPr>
      </w:pPr>
      <w:r w:rsidRPr="00C441DA">
        <w:rPr>
          <w:b/>
          <w:sz w:val="21"/>
          <w:szCs w:val="21"/>
        </w:rPr>
        <w:t xml:space="preserve">ARTÍCULO 52.- </w:t>
      </w:r>
      <w:r w:rsidRPr="00C441DA">
        <w:rPr>
          <w:sz w:val="21"/>
          <w:szCs w:val="21"/>
        </w:rPr>
        <w:t xml:space="preserve"> La Tesorería y las Área encargada de la hacienda de la Entidad Paramunicipal llevarán controles para el registro de las adquisiciones por fondos revolventes para cumplir con las limitantes establecidas por la legislación en materia de compas gubernamental, por lo que están facultadas para cancelar o restringir los fondos revolventes en cualquier momento. </w:t>
      </w:r>
    </w:p>
    <w:p w:rsidR="000D7101" w:rsidRPr="00C441DA" w:rsidRDefault="000D7101" w:rsidP="000D7101">
      <w:pPr>
        <w:ind w:right="18"/>
        <w:rPr>
          <w:rFonts w:ascii="Arial" w:hAnsi="Arial" w:cs="Arial"/>
          <w:sz w:val="21"/>
          <w:szCs w:val="21"/>
        </w:rPr>
      </w:pPr>
    </w:p>
    <w:p w:rsidR="000D7101" w:rsidRPr="00C441DA" w:rsidRDefault="000D7101" w:rsidP="000D7101">
      <w:pPr>
        <w:ind w:right="18"/>
        <w:rPr>
          <w:rFonts w:ascii="Arial" w:hAnsi="Arial" w:cs="Arial"/>
          <w:sz w:val="21"/>
          <w:szCs w:val="21"/>
        </w:rPr>
      </w:pPr>
    </w:p>
    <w:p w:rsidR="000D7101" w:rsidRPr="00C441DA" w:rsidRDefault="000D7101" w:rsidP="000D7101">
      <w:pPr>
        <w:ind w:right="18"/>
        <w:jc w:val="center"/>
        <w:rPr>
          <w:rFonts w:ascii="Arial" w:hAnsi="Arial" w:cs="Arial"/>
          <w:b/>
          <w:sz w:val="21"/>
          <w:szCs w:val="21"/>
        </w:rPr>
      </w:pPr>
      <w:r w:rsidRPr="00C441DA">
        <w:rPr>
          <w:rFonts w:ascii="Arial" w:hAnsi="Arial" w:cs="Arial"/>
          <w:b/>
          <w:sz w:val="21"/>
          <w:szCs w:val="21"/>
        </w:rPr>
        <w:t>CAPÍTULO I</w:t>
      </w:r>
    </w:p>
    <w:p w:rsidR="000D7101" w:rsidRPr="00C441DA" w:rsidRDefault="000D7101" w:rsidP="000D7101">
      <w:pPr>
        <w:ind w:right="18"/>
        <w:jc w:val="center"/>
        <w:rPr>
          <w:rFonts w:ascii="Arial" w:hAnsi="Arial" w:cs="Arial"/>
          <w:b/>
          <w:sz w:val="21"/>
          <w:szCs w:val="21"/>
        </w:rPr>
      </w:pPr>
      <w:r w:rsidRPr="00C441DA">
        <w:rPr>
          <w:rFonts w:ascii="Arial" w:hAnsi="Arial" w:cs="Arial"/>
          <w:b/>
          <w:sz w:val="21"/>
          <w:szCs w:val="21"/>
        </w:rPr>
        <w:t>DEL GASTO POR COMPROBAR</w:t>
      </w:r>
    </w:p>
    <w:p w:rsidR="000D7101" w:rsidRPr="00C441DA" w:rsidRDefault="000D7101" w:rsidP="000D7101">
      <w:pPr>
        <w:ind w:right="18"/>
        <w:rPr>
          <w:rFonts w:ascii="Arial" w:hAnsi="Arial" w:cs="Arial"/>
          <w:sz w:val="21"/>
          <w:szCs w:val="21"/>
        </w:rPr>
      </w:pPr>
    </w:p>
    <w:p w:rsidR="000D7101" w:rsidRPr="00C441DA" w:rsidRDefault="000D7101" w:rsidP="000D7101">
      <w:pPr>
        <w:ind w:right="18"/>
        <w:rPr>
          <w:rFonts w:ascii="Arial" w:hAnsi="Arial" w:cs="Arial"/>
          <w:sz w:val="21"/>
          <w:szCs w:val="21"/>
        </w:rPr>
      </w:pPr>
    </w:p>
    <w:p w:rsidR="000D7101" w:rsidRPr="00E27867" w:rsidRDefault="000D7101" w:rsidP="000D7101">
      <w:pPr>
        <w:pStyle w:val="Default"/>
        <w:ind w:right="18"/>
        <w:jc w:val="both"/>
        <w:rPr>
          <w:sz w:val="21"/>
          <w:szCs w:val="21"/>
        </w:rPr>
      </w:pPr>
      <w:r w:rsidRPr="00E27867">
        <w:rPr>
          <w:b/>
          <w:sz w:val="21"/>
          <w:szCs w:val="21"/>
        </w:rPr>
        <w:t xml:space="preserve">ARTÍCULO 53.- </w:t>
      </w:r>
      <w:r w:rsidRPr="00E27867">
        <w:rPr>
          <w:sz w:val="21"/>
          <w:szCs w:val="21"/>
        </w:rPr>
        <w:t xml:space="preserve">El gasto por comprobar se ejercerá posteriormente que la Tesorería haya autorizado el monto a pagar, por lo que al solicitante autorizado por la dependencia le serán entregados mediante trasferencia electrónica a la tarjeta de nómina del servidor público designado, o la expedición y entrega de un cheque nominativo, para solventar en forma inmediata los gastos. </w:t>
      </w:r>
    </w:p>
    <w:p w:rsidR="000D7101" w:rsidRPr="00E27867" w:rsidRDefault="000D7101" w:rsidP="000D7101">
      <w:pPr>
        <w:pStyle w:val="Default"/>
        <w:ind w:right="18"/>
        <w:jc w:val="both"/>
        <w:rPr>
          <w:sz w:val="21"/>
          <w:szCs w:val="21"/>
        </w:rPr>
      </w:pPr>
    </w:p>
    <w:p w:rsidR="000D7101" w:rsidRPr="00E27867" w:rsidRDefault="000D7101" w:rsidP="000D7101">
      <w:pPr>
        <w:pStyle w:val="Default"/>
        <w:ind w:right="18"/>
        <w:rPr>
          <w:sz w:val="21"/>
          <w:szCs w:val="21"/>
        </w:rPr>
      </w:pPr>
    </w:p>
    <w:p w:rsidR="000D7101" w:rsidRPr="00E27867" w:rsidRDefault="000D7101" w:rsidP="000D7101">
      <w:pPr>
        <w:ind w:right="18"/>
        <w:jc w:val="both"/>
        <w:rPr>
          <w:rFonts w:ascii="Arial" w:hAnsi="Arial" w:cs="Arial"/>
          <w:sz w:val="21"/>
          <w:szCs w:val="21"/>
        </w:rPr>
      </w:pPr>
      <w:r w:rsidRPr="00C441DA">
        <w:rPr>
          <w:rFonts w:ascii="Arial" w:hAnsi="Arial" w:cs="Arial"/>
          <w:b/>
          <w:sz w:val="21"/>
          <w:szCs w:val="21"/>
        </w:rPr>
        <w:t xml:space="preserve">ARTÍCULO 54.- </w:t>
      </w:r>
      <w:r w:rsidRPr="00E27867">
        <w:rPr>
          <w:rFonts w:ascii="Arial" w:hAnsi="Arial" w:cs="Arial"/>
          <w:sz w:val="21"/>
          <w:szCs w:val="21"/>
        </w:rPr>
        <w:t>La Dependencia deberá presentar la documentación comprobatoria del gasto en original deberán corresponder al gasto solicitado y estar autorizados con firma autógrafa por el Titular de la Dependencia que realizó el gasto. La documentación original comprobatoria debe cumplir con los requisitos Fiscales y adjuntar los soportes documentales que justifiquen el gasto.</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sz w:val="21"/>
          <w:szCs w:val="21"/>
        </w:rPr>
        <w:t>En caso de sobrante de efectivo, deberá ser depositado en Tesorería, todos los comprobantes de gastos para ser pagados deberán ser del propio mes o con una antigüedad máxima de 30 días naturales.</w:t>
      </w:r>
    </w:p>
    <w:p w:rsidR="000D7101" w:rsidRPr="00C441DA" w:rsidRDefault="000D7101" w:rsidP="000D7101">
      <w:pPr>
        <w:ind w:right="18"/>
        <w:jc w:val="center"/>
        <w:rPr>
          <w:rFonts w:ascii="Arial" w:hAnsi="Arial" w:cs="Arial"/>
          <w:b/>
          <w:sz w:val="21"/>
          <w:szCs w:val="21"/>
        </w:rPr>
      </w:pPr>
    </w:p>
    <w:p w:rsidR="000D7101" w:rsidRPr="00C441DA" w:rsidRDefault="000D7101" w:rsidP="000D7101">
      <w:pPr>
        <w:ind w:right="18"/>
        <w:jc w:val="center"/>
        <w:rPr>
          <w:rFonts w:ascii="Arial" w:hAnsi="Arial" w:cs="Arial"/>
          <w:b/>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lastRenderedPageBreak/>
        <w:t xml:space="preserve">ARTÍCULO 55.- </w:t>
      </w:r>
      <w:r w:rsidRPr="00C441DA">
        <w:rPr>
          <w:rFonts w:ascii="Arial" w:hAnsi="Arial" w:cs="Arial"/>
          <w:sz w:val="21"/>
          <w:szCs w:val="21"/>
        </w:rPr>
        <w:t>Las Entidades Paramunicipales deberán utilizar realizar el procedimiento de este capítulo de gastos a comprobar en sus respectivas áreas encargadas de su hacienda con cargo a sus asignaciones presupuestales y con los limitantes que determine su órgano de gobierno.</w:t>
      </w:r>
    </w:p>
    <w:p w:rsidR="000D7101" w:rsidRPr="00C441DA" w:rsidRDefault="000D7101" w:rsidP="000D7101">
      <w:pPr>
        <w:ind w:right="18"/>
        <w:jc w:val="center"/>
        <w:rPr>
          <w:rFonts w:ascii="Arial" w:hAnsi="Arial" w:cs="Arial"/>
          <w:b/>
          <w:sz w:val="21"/>
          <w:szCs w:val="21"/>
        </w:rPr>
      </w:pPr>
    </w:p>
    <w:p w:rsidR="000D7101" w:rsidRPr="00C441DA" w:rsidRDefault="000D7101" w:rsidP="000D7101">
      <w:pPr>
        <w:ind w:right="18"/>
        <w:jc w:val="center"/>
        <w:rPr>
          <w:rFonts w:ascii="Arial" w:hAnsi="Arial" w:cs="Arial"/>
          <w:b/>
          <w:sz w:val="21"/>
          <w:szCs w:val="21"/>
        </w:rPr>
      </w:pPr>
    </w:p>
    <w:p w:rsidR="000D7101" w:rsidRPr="00C441DA" w:rsidRDefault="000D7101" w:rsidP="000D7101">
      <w:pPr>
        <w:ind w:right="18"/>
        <w:jc w:val="center"/>
        <w:rPr>
          <w:rFonts w:ascii="Arial" w:hAnsi="Arial" w:cs="Arial"/>
          <w:b/>
          <w:sz w:val="21"/>
          <w:szCs w:val="21"/>
        </w:rPr>
      </w:pPr>
      <w:r w:rsidRPr="00C441DA">
        <w:rPr>
          <w:rFonts w:ascii="Arial" w:hAnsi="Arial" w:cs="Arial"/>
          <w:b/>
          <w:sz w:val="21"/>
          <w:szCs w:val="21"/>
        </w:rPr>
        <w:t>CAPÍTULO II</w:t>
      </w:r>
    </w:p>
    <w:p w:rsidR="000D7101" w:rsidRPr="00C441DA" w:rsidRDefault="000D7101" w:rsidP="000D7101">
      <w:pPr>
        <w:ind w:right="18"/>
        <w:jc w:val="center"/>
        <w:rPr>
          <w:rFonts w:ascii="Arial" w:hAnsi="Arial" w:cs="Arial"/>
          <w:b/>
          <w:sz w:val="21"/>
          <w:szCs w:val="21"/>
        </w:rPr>
      </w:pPr>
      <w:r w:rsidRPr="00C441DA">
        <w:rPr>
          <w:rFonts w:ascii="Arial" w:hAnsi="Arial" w:cs="Arial"/>
          <w:b/>
          <w:sz w:val="21"/>
          <w:szCs w:val="21"/>
        </w:rPr>
        <w:t>VIÁTICOS PARA VIAJES OFICIALES</w:t>
      </w:r>
    </w:p>
    <w:p w:rsidR="000D7101" w:rsidRPr="00C441DA" w:rsidRDefault="000D7101" w:rsidP="000D7101">
      <w:pPr>
        <w:ind w:right="18"/>
        <w:jc w:val="center"/>
        <w:rPr>
          <w:rFonts w:ascii="Arial" w:hAnsi="Arial" w:cs="Arial"/>
          <w:b/>
          <w:sz w:val="21"/>
          <w:szCs w:val="21"/>
        </w:rPr>
      </w:pP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 xml:space="preserve">ARTÍCULO 56.- </w:t>
      </w:r>
      <w:r w:rsidRPr="00C441DA">
        <w:rPr>
          <w:rFonts w:ascii="Arial" w:hAnsi="Arial" w:cs="Arial"/>
          <w:sz w:val="21"/>
          <w:szCs w:val="21"/>
        </w:rPr>
        <w:t>Los servidores públicos del Gobierno Municipal podrán realizar viajes o visitas oficiales, así como visitas de comisión especial, con cargo al Presupuesto de Egresos, únicamente en el territorio nacional, cuando exista invitación formal o para promover el Municipio, fortaleciendo las relaciones con otras regiones, para lo obtención de recursos económicos o para cualquier otro fin que beneficie al Municipio y podrán realizar visitas el extranjero cuando sean autorizados por el Presidente Municipal.</w:t>
      </w:r>
    </w:p>
    <w:p w:rsidR="000D7101" w:rsidRPr="00C441DA" w:rsidRDefault="000D7101" w:rsidP="000D7101">
      <w:pPr>
        <w:ind w:right="18"/>
        <w:jc w:val="both"/>
        <w:rPr>
          <w:rFonts w:ascii="Arial" w:hAnsi="Arial" w:cs="Arial"/>
          <w:color w:val="002060"/>
          <w:sz w:val="21"/>
          <w:szCs w:val="21"/>
        </w:rPr>
      </w:pP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 xml:space="preserve">ARTÍCULO 57.- </w:t>
      </w:r>
      <w:r w:rsidRPr="00C441DA">
        <w:rPr>
          <w:rFonts w:ascii="Arial" w:hAnsi="Arial" w:cs="Arial"/>
          <w:sz w:val="21"/>
          <w:szCs w:val="21"/>
        </w:rPr>
        <w:t xml:space="preserve">El tabulador de viáticos es el documento elaborado por la Tesorería Municipal y publicado en la Gaceta Municipal, que será la base con el cual se asignarán los importes de viáticos a los servidores públicos comisionados para realizar visitas oficiales. </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 xml:space="preserve">ARTÍCULO 58.- </w:t>
      </w:r>
      <w:r w:rsidRPr="00C441DA">
        <w:rPr>
          <w:rFonts w:ascii="Arial" w:hAnsi="Arial" w:cs="Arial"/>
          <w:sz w:val="21"/>
          <w:szCs w:val="21"/>
        </w:rPr>
        <w:t xml:space="preserve">La asignación de viáticos se realiza siempre y cuando las actividades que se pretendan generar, se lleven a cabo en un lugar distinto al Área Metropolitana de Guadalajara o municipios colindantes, de conformidad con el tabulador de viáticos publicados. </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 xml:space="preserve">ARTÍCULO 59.- </w:t>
      </w:r>
      <w:r w:rsidRPr="00C441DA">
        <w:rPr>
          <w:rFonts w:ascii="Arial" w:hAnsi="Arial" w:cs="Arial"/>
          <w:sz w:val="21"/>
          <w:szCs w:val="21"/>
        </w:rPr>
        <w:t>Los viáticos deberán ser solicitados a la Tesorería, con un mínimo de tres días hábiles antes de la fecha requerida, especificando en la misma el destino, objetivo, información y la fecha o periodo del viaje tomando en cuenta los horarios y días de traslados.</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 xml:space="preserve">ARTÍCULO 60.- </w:t>
      </w:r>
      <w:r w:rsidRPr="00C441DA">
        <w:rPr>
          <w:rFonts w:ascii="Arial" w:hAnsi="Arial" w:cs="Arial"/>
          <w:sz w:val="21"/>
          <w:szCs w:val="21"/>
        </w:rPr>
        <w:t>La Tesorería</w:t>
      </w:r>
      <w:r w:rsidRPr="00C441DA">
        <w:rPr>
          <w:rFonts w:ascii="Arial" w:hAnsi="Arial" w:cs="Arial"/>
          <w:b/>
          <w:sz w:val="21"/>
          <w:szCs w:val="21"/>
        </w:rPr>
        <w:t xml:space="preserve"> </w:t>
      </w:r>
      <w:r w:rsidRPr="00C441DA">
        <w:rPr>
          <w:rFonts w:ascii="Arial" w:hAnsi="Arial" w:cs="Arial"/>
          <w:sz w:val="21"/>
          <w:szCs w:val="21"/>
        </w:rPr>
        <w:t>otorgará viáticos, de conformidad con el tabulador existente para ello, por los días estrictamente necesarios para que los servidores públicos desempeñen sus labores.</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p>
    <w:p w:rsidR="000D7101" w:rsidRPr="00E27867" w:rsidRDefault="000D7101" w:rsidP="000D7101">
      <w:pPr>
        <w:pStyle w:val="Default"/>
        <w:ind w:right="18"/>
        <w:jc w:val="both"/>
        <w:rPr>
          <w:sz w:val="21"/>
          <w:szCs w:val="21"/>
        </w:rPr>
      </w:pPr>
      <w:r w:rsidRPr="00E27867">
        <w:rPr>
          <w:b/>
          <w:sz w:val="21"/>
          <w:szCs w:val="21"/>
        </w:rPr>
        <w:t xml:space="preserve">ARTÍCULO 61.- </w:t>
      </w:r>
      <w:r w:rsidRPr="00E27867">
        <w:rPr>
          <w:sz w:val="21"/>
          <w:szCs w:val="21"/>
        </w:rPr>
        <w:t xml:space="preserve">Una vez que la Tesorería haya autorizado el monto para viáticos, al solicitante autorizado le serán entregados mediante trasferencia electrónica a la tarjeta de nómina del servidor público designado, o la expedición y entrega de un cheque nominativo, para solventar en forma inmediata los gastos. </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color w:val="FF0000"/>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 xml:space="preserve">ARTÍCULO 62.- </w:t>
      </w:r>
      <w:r w:rsidRPr="00C441DA">
        <w:rPr>
          <w:rFonts w:ascii="Arial" w:hAnsi="Arial" w:cs="Arial"/>
          <w:sz w:val="21"/>
          <w:szCs w:val="21"/>
        </w:rPr>
        <w:t>Toda autorización y otorgamiento de viáticos estará sujeta a la no existencia de gastos por comprobar de un viaje anterior.</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p>
    <w:p w:rsidR="000D7101" w:rsidRPr="00E27867" w:rsidRDefault="000D7101" w:rsidP="000D7101">
      <w:pPr>
        <w:ind w:right="18"/>
        <w:jc w:val="both"/>
        <w:rPr>
          <w:rFonts w:ascii="Arial" w:hAnsi="Arial" w:cs="Arial"/>
          <w:sz w:val="21"/>
          <w:szCs w:val="21"/>
        </w:rPr>
      </w:pPr>
      <w:r w:rsidRPr="00C441DA">
        <w:rPr>
          <w:rFonts w:ascii="Arial" w:hAnsi="Arial" w:cs="Arial"/>
          <w:b/>
          <w:sz w:val="21"/>
          <w:szCs w:val="21"/>
        </w:rPr>
        <w:lastRenderedPageBreak/>
        <w:t xml:space="preserve">ARTÍCULO 63.- </w:t>
      </w:r>
      <w:r w:rsidRPr="00E27867">
        <w:rPr>
          <w:rFonts w:ascii="Arial" w:hAnsi="Arial" w:cs="Arial"/>
          <w:sz w:val="21"/>
          <w:szCs w:val="21"/>
        </w:rPr>
        <w:t xml:space="preserve">La Dependencia deberá presentar la documentación comprobatoria del gasto en original y deberán corresponder al gasto solicitado, así como estar autorizados con firma autógrafa por el Titular de la Dependencia que realizó el gasto. </w:t>
      </w:r>
    </w:p>
    <w:p w:rsidR="000D7101" w:rsidRPr="00E27867" w:rsidRDefault="000D7101" w:rsidP="000D7101">
      <w:pPr>
        <w:ind w:right="18"/>
        <w:jc w:val="both"/>
        <w:rPr>
          <w:rFonts w:ascii="Arial" w:hAnsi="Arial" w:cs="Arial"/>
          <w:sz w:val="21"/>
          <w:szCs w:val="21"/>
        </w:rPr>
      </w:pPr>
    </w:p>
    <w:p w:rsidR="000D7101" w:rsidRPr="00E27867" w:rsidRDefault="000D7101" w:rsidP="000D7101">
      <w:pPr>
        <w:ind w:right="18"/>
        <w:jc w:val="both"/>
        <w:rPr>
          <w:rFonts w:ascii="Arial" w:hAnsi="Arial" w:cs="Arial"/>
          <w:sz w:val="21"/>
          <w:szCs w:val="21"/>
        </w:rPr>
      </w:pPr>
    </w:p>
    <w:p w:rsidR="000D7101" w:rsidRPr="00E27867" w:rsidRDefault="000D7101" w:rsidP="000D7101">
      <w:pPr>
        <w:ind w:right="18"/>
        <w:jc w:val="both"/>
        <w:rPr>
          <w:rFonts w:ascii="Arial" w:hAnsi="Arial" w:cs="Arial"/>
          <w:sz w:val="21"/>
          <w:szCs w:val="21"/>
        </w:rPr>
      </w:pPr>
      <w:r w:rsidRPr="00C441DA">
        <w:rPr>
          <w:rFonts w:ascii="Arial" w:hAnsi="Arial" w:cs="Arial"/>
          <w:b/>
          <w:sz w:val="21"/>
          <w:szCs w:val="21"/>
        </w:rPr>
        <w:t xml:space="preserve">ARTÍCULO 64.- </w:t>
      </w:r>
      <w:r w:rsidRPr="00E27867">
        <w:rPr>
          <w:rFonts w:ascii="Arial" w:hAnsi="Arial" w:cs="Arial"/>
          <w:sz w:val="21"/>
          <w:szCs w:val="21"/>
        </w:rPr>
        <w:t>La documentación original comprobatoria debe cumplir con los requisitos fiscales y adjuntar los soportes documentales que justifiquen el gasto.</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 xml:space="preserve">ARTÍCULO 65.- </w:t>
      </w:r>
      <w:r w:rsidRPr="00C441DA">
        <w:rPr>
          <w:rFonts w:ascii="Arial" w:hAnsi="Arial" w:cs="Arial"/>
          <w:sz w:val="21"/>
          <w:szCs w:val="21"/>
        </w:rPr>
        <w:t>En ningún caso se pueden reembolsar boletos de avión que no hayan sido autorizados según las especificaciones establecidas en el presente Reglamento y la legislación aplicable. En ningún caso se podrá ejercer las partidas de pasaje para complementar las remuneraciones de servidor público alguno.</w:t>
      </w: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p>
    <w:p w:rsidR="000D7101" w:rsidRPr="00C441DA" w:rsidRDefault="000D7101" w:rsidP="000D7101">
      <w:pPr>
        <w:ind w:right="18"/>
        <w:jc w:val="both"/>
        <w:rPr>
          <w:rFonts w:ascii="Arial" w:hAnsi="Arial" w:cs="Arial"/>
          <w:sz w:val="21"/>
          <w:szCs w:val="21"/>
        </w:rPr>
      </w:pPr>
      <w:r w:rsidRPr="00C441DA">
        <w:rPr>
          <w:rFonts w:ascii="Arial" w:hAnsi="Arial" w:cs="Arial"/>
          <w:b/>
          <w:sz w:val="21"/>
          <w:szCs w:val="21"/>
        </w:rPr>
        <w:t xml:space="preserve">ARTÍCULO 66.- </w:t>
      </w:r>
      <w:r w:rsidRPr="00C441DA">
        <w:rPr>
          <w:rFonts w:ascii="Arial" w:hAnsi="Arial" w:cs="Arial"/>
          <w:sz w:val="21"/>
          <w:szCs w:val="21"/>
        </w:rPr>
        <w:t>Las Entidades Paramunicipales deberán utilizar realizar el procedimiento de este capítulo de viáticos para viajes oficiales en sus respectivas áreas encargadas de su hacienda o bajo el convenio de coordinación con el Municipio en materia de adquisiciones, con cargo a sus asignaciones presupuestales.</w:t>
      </w:r>
    </w:p>
    <w:p w:rsidR="000D7101" w:rsidRPr="00C441DA" w:rsidRDefault="000D7101" w:rsidP="000D7101">
      <w:pPr>
        <w:ind w:right="18"/>
        <w:rPr>
          <w:rFonts w:ascii="Arial" w:hAnsi="Arial" w:cs="Arial"/>
          <w:sz w:val="21"/>
          <w:szCs w:val="21"/>
        </w:rPr>
      </w:pPr>
    </w:p>
    <w:p w:rsidR="000D7101" w:rsidRPr="00C441DA" w:rsidRDefault="000D7101" w:rsidP="000D7101">
      <w:pPr>
        <w:pStyle w:val="Estilo"/>
        <w:ind w:right="18"/>
        <w:rPr>
          <w:rFonts w:eastAsia="Times New Roman" w:cs="Arial"/>
          <w:b/>
          <w:sz w:val="21"/>
          <w:szCs w:val="21"/>
          <w:lang w:eastAsia="es-ES"/>
        </w:rPr>
      </w:pPr>
    </w:p>
    <w:p w:rsidR="000D7101" w:rsidRPr="00C441DA" w:rsidRDefault="000D7101" w:rsidP="000D7101">
      <w:pPr>
        <w:pStyle w:val="Estilo"/>
        <w:ind w:right="18"/>
        <w:jc w:val="center"/>
        <w:rPr>
          <w:rFonts w:eastAsia="Times New Roman" w:cs="Arial"/>
          <w:b/>
          <w:sz w:val="21"/>
          <w:szCs w:val="21"/>
          <w:lang w:eastAsia="es-ES"/>
        </w:rPr>
      </w:pPr>
      <w:r w:rsidRPr="00C441DA">
        <w:rPr>
          <w:rFonts w:eastAsia="Times New Roman" w:cs="Arial"/>
          <w:b/>
          <w:sz w:val="21"/>
          <w:szCs w:val="21"/>
          <w:lang w:eastAsia="es-ES"/>
        </w:rPr>
        <w:t>TÍTULO QUINTO</w:t>
      </w:r>
    </w:p>
    <w:p w:rsidR="000D7101" w:rsidRPr="00C441DA" w:rsidRDefault="000D7101" w:rsidP="000D7101">
      <w:pPr>
        <w:pStyle w:val="Estilo"/>
        <w:ind w:right="18"/>
        <w:jc w:val="center"/>
        <w:rPr>
          <w:rFonts w:eastAsia="Times New Roman" w:cs="Arial"/>
          <w:b/>
          <w:sz w:val="21"/>
          <w:szCs w:val="21"/>
          <w:lang w:eastAsia="es-ES"/>
        </w:rPr>
      </w:pPr>
      <w:r w:rsidRPr="00C441DA">
        <w:rPr>
          <w:rFonts w:eastAsia="Times New Roman" w:cs="Arial"/>
          <w:b/>
          <w:sz w:val="21"/>
          <w:szCs w:val="21"/>
          <w:lang w:eastAsia="es-ES"/>
        </w:rPr>
        <w:t>DE LAS APORTACIONES Y FONDOS PARA FINES ESPECÍFICOS</w:t>
      </w:r>
    </w:p>
    <w:p w:rsidR="000D7101" w:rsidRPr="00C441DA" w:rsidRDefault="000D7101" w:rsidP="000D7101">
      <w:pPr>
        <w:pStyle w:val="Estilo"/>
        <w:ind w:right="18"/>
        <w:jc w:val="center"/>
        <w:rPr>
          <w:rFonts w:eastAsia="Times New Roman" w:cs="Arial"/>
          <w:b/>
          <w:sz w:val="21"/>
          <w:szCs w:val="21"/>
          <w:lang w:eastAsia="es-ES"/>
        </w:rPr>
      </w:pPr>
    </w:p>
    <w:p w:rsidR="000D7101" w:rsidRPr="00C441DA" w:rsidRDefault="000D7101" w:rsidP="000D7101">
      <w:pPr>
        <w:pStyle w:val="Estilo"/>
        <w:ind w:right="18"/>
        <w:jc w:val="center"/>
        <w:rPr>
          <w:rFonts w:eastAsia="Times New Roman" w:cs="Arial"/>
          <w:b/>
          <w:sz w:val="21"/>
          <w:szCs w:val="21"/>
          <w:lang w:eastAsia="es-ES"/>
        </w:rPr>
      </w:pPr>
    </w:p>
    <w:p w:rsidR="000D7101" w:rsidRPr="00E27867" w:rsidRDefault="000D7101" w:rsidP="000D7101">
      <w:pPr>
        <w:pStyle w:val="Default"/>
        <w:jc w:val="both"/>
        <w:rPr>
          <w:sz w:val="21"/>
          <w:szCs w:val="21"/>
        </w:rPr>
      </w:pPr>
      <w:r w:rsidRPr="00C441DA">
        <w:rPr>
          <w:b/>
          <w:sz w:val="21"/>
          <w:szCs w:val="21"/>
        </w:rPr>
        <w:t xml:space="preserve">ARTÍCULO 67.- </w:t>
      </w:r>
      <w:r w:rsidRPr="00C441DA">
        <w:rPr>
          <w:sz w:val="21"/>
          <w:szCs w:val="21"/>
        </w:rPr>
        <w:t xml:space="preserve">Cuando las leyes, normas, ordenamientos municipales, programas o convenios contemplen la existencia de aportaciones o fondos para fines específicos, </w:t>
      </w:r>
      <w:r w:rsidRPr="00E27867">
        <w:rPr>
          <w:sz w:val="21"/>
          <w:szCs w:val="21"/>
        </w:rPr>
        <w:t xml:space="preserve">serán administrados conforme a lo que marquen las mismas y deberán registrarse conforme al Clasificador por Objeto del Gasto acorde a los fines específicos por los que fueron creados, en el momento en que ingresen a la hacienda pública del Municipio sus recursos. </w:t>
      </w:r>
    </w:p>
    <w:p w:rsidR="000D7101" w:rsidRPr="00E27867" w:rsidRDefault="000D7101" w:rsidP="000D7101">
      <w:pPr>
        <w:pStyle w:val="Default"/>
        <w:jc w:val="both"/>
        <w:rPr>
          <w:sz w:val="21"/>
          <w:szCs w:val="21"/>
        </w:rPr>
      </w:pPr>
    </w:p>
    <w:p w:rsidR="000D7101" w:rsidRPr="00C441DA" w:rsidRDefault="000D7101" w:rsidP="000D7101">
      <w:pPr>
        <w:pStyle w:val="Default"/>
        <w:jc w:val="both"/>
        <w:rPr>
          <w:sz w:val="21"/>
          <w:szCs w:val="21"/>
        </w:rPr>
      </w:pPr>
      <w:r w:rsidRPr="00C441DA">
        <w:rPr>
          <w:b/>
          <w:sz w:val="21"/>
          <w:szCs w:val="21"/>
        </w:rPr>
        <w:t xml:space="preserve">ARTÍCULO 68.- </w:t>
      </w:r>
      <w:r w:rsidRPr="00C441DA">
        <w:rPr>
          <w:sz w:val="21"/>
          <w:szCs w:val="21"/>
        </w:rPr>
        <w:t xml:space="preserve">Cuando al cierre del ejercicio fiscal existan remanentes de aportaciones o fondos para fines específicos, la Tesorería deberá: </w:t>
      </w:r>
    </w:p>
    <w:p w:rsidR="000D7101" w:rsidRPr="00C441DA" w:rsidRDefault="000D7101" w:rsidP="000D7101">
      <w:pPr>
        <w:pStyle w:val="Default"/>
        <w:jc w:val="both"/>
        <w:rPr>
          <w:sz w:val="21"/>
          <w:szCs w:val="21"/>
        </w:rPr>
      </w:pPr>
    </w:p>
    <w:p w:rsidR="000D7101" w:rsidRPr="00C441DA" w:rsidRDefault="000D7101" w:rsidP="000D7101">
      <w:pPr>
        <w:pStyle w:val="Default"/>
        <w:jc w:val="both"/>
        <w:rPr>
          <w:sz w:val="21"/>
          <w:szCs w:val="21"/>
        </w:rPr>
      </w:pPr>
      <w:r w:rsidRPr="00C441DA">
        <w:rPr>
          <w:sz w:val="21"/>
          <w:szCs w:val="21"/>
        </w:rPr>
        <w:t xml:space="preserve">I.- En el caso de fondos municipales, presupuestos participativos, aportaciones ingresadas con motivos del desarrollo de mecanismos de participación ciudadana, convenios o donativos, se conservará la asignación en los proyectos de los Presupuestos de Egresos y sus modificaciones en las mismas partidas conforme al </w:t>
      </w:r>
      <w:r w:rsidRPr="00E27867">
        <w:rPr>
          <w:sz w:val="21"/>
          <w:szCs w:val="21"/>
        </w:rPr>
        <w:t>Clasificador por Objeto del Gasto, acorde a los fines específicos por los que fueron creados, junto con sus accesorios financieros para su aprobación por el Ayuntamiento; y</w:t>
      </w:r>
    </w:p>
    <w:p w:rsidR="000D7101" w:rsidRPr="00C441DA" w:rsidRDefault="000D7101" w:rsidP="000D7101">
      <w:pPr>
        <w:pStyle w:val="Default"/>
        <w:jc w:val="both"/>
        <w:rPr>
          <w:sz w:val="21"/>
          <w:szCs w:val="21"/>
        </w:rPr>
      </w:pPr>
    </w:p>
    <w:p w:rsidR="000D7101" w:rsidRPr="00E27867" w:rsidRDefault="000D7101" w:rsidP="000D7101">
      <w:pPr>
        <w:pStyle w:val="Default"/>
        <w:jc w:val="both"/>
        <w:rPr>
          <w:sz w:val="21"/>
          <w:szCs w:val="21"/>
        </w:rPr>
      </w:pPr>
      <w:r w:rsidRPr="00C441DA">
        <w:rPr>
          <w:sz w:val="21"/>
          <w:szCs w:val="21"/>
        </w:rPr>
        <w:t>II.- En los casos de aportaciones, fondos o recursos de origen federal y estatal, se estará a lo que se determine en su regulación respectiva.</w:t>
      </w:r>
    </w:p>
    <w:p w:rsidR="000D7101" w:rsidRPr="00C441DA" w:rsidRDefault="000D7101" w:rsidP="000D7101">
      <w:pPr>
        <w:pStyle w:val="Estilo"/>
        <w:ind w:right="18"/>
        <w:rPr>
          <w:rFonts w:eastAsia="Times New Roman" w:cs="Arial"/>
          <w:sz w:val="21"/>
          <w:szCs w:val="21"/>
          <w:lang w:eastAsia="es-ES"/>
        </w:rPr>
      </w:pPr>
    </w:p>
    <w:p w:rsidR="000D7101" w:rsidRPr="00C441DA" w:rsidRDefault="000D7101" w:rsidP="000D7101">
      <w:pPr>
        <w:pStyle w:val="Estilo"/>
        <w:ind w:right="18"/>
        <w:rPr>
          <w:rFonts w:eastAsia="Times New Roman" w:cs="Arial"/>
          <w:sz w:val="21"/>
          <w:szCs w:val="21"/>
          <w:lang w:eastAsia="es-ES"/>
        </w:rPr>
      </w:pPr>
    </w:p>
    <w:p w:rsidR="000D7101" w:rsidRPr="00C441DA" w:rsidRDefault="000D7101" w:rsidP="000D7101">
      <w:pPr>
        <w:pStyle w:val="Estilo"/>
        <w:ind w:right="18"/>
        <w:jc w:val="center"/>
        <w:rPr>
          <w:rFonts w:eastAsia="Times New Roman" w:cs="Arial"/>
          <w:b/>
          <w:sz w:val="21"/>
          <w:szCs w:val="21"/>
          <w:lang w:eastAsia="es-ES"/>
        </w:rPr>
      </w:pPr>
      <w:r w:rsidRPr="00C441DA">
        <w:rPr>
          <w:rFonts w:eastAsia="Times New Roman" w:cs="Arial"/>
          <w:b/>
          <w:sz w:val="21"/>
          <w:szCs w:val="21"/>
          <w:lang w:eastAsia="es-ES"/>
        </w:rPr>
        <w:t>TÍTULO SEXTO</w:t>
      </w:r>
    </w:p>
    <w:p w:rsidR="000D7101" w:rsidRPr="00C441DA" w:rsidRDefault="000D7101" w:rsidP="000D7101">
      <w:pPr>
        <w:pStyle w:val="Estilo"/>
        <w:ind w:right="18"/>
        <w:jc w:val="center"/>
        <w:rPr>
          <w:rFonts w:eastAsia="Times New Roman" w:cs="Arial"/>
          <w:b/>
          <w:sz w:val="21"/>
          <w:szCs w:val="21"/>
          <w:lang w:eastAsia="es-ES"/>
        </w:rPr>
      </w:pPr>
      <w:r w:rsidRPr="00C441DA">
        <w:rPr>
          <w:rFonts w:eastAsia="Times New Roman" w:cs="Arial"/>
          <w:b/>
          <w:sz w:val="21"/>
          <w:szCs w:val="21"/>
          <w:lang w:eastAsia="es-ES"/>
        </w:rPr>
        <w:t>DE LAS SANCIONES</w:t>
      </w:r>
    </w:p>
    <w:p w:rsidR="000D7101" w:rsidRPr="00C441DA" w:rsidRDefault="000D7101" w:rsidP="000D7101">
      <w:pPr>
        <w:pStyle w:val="Estilo"/>
        <w:ind w:right="18"/>
        <w:rPr>
          <w:rFonts w:eastAsia="Times New Roman" w:cs="Arial"/>
          <w:sz w:val="21"/>
          <w:szCs w:val="21"/>
          <w:lang w:eastAsia="es-ES"/>
        </w:rPr>
      </w:pPr>
    </w:p>
    <w:p w:rsidR="000D7101" w:rsidRPr="00C441DA" w:rsidRDefault="000D7101" w:rsidP="000D7101">
      <w:pPr>
        <w:pStyle w:val="Estilo"/>
        <w:ind w:right="18"/>
        <w:rPr>
          <w:rFonts w:eastAsia="Times New Roman" w:cs="Arial"/>
          <w:sz w:val="21"/>
          <w:szCs w:val="21"/>
          <w:lang w:eastAsia="es-ES"/>
        </w:rPr>
      </w:pPr>
    </w:p>
    <w:p w:rsidR="000D7101" w:rsidRPr="00C441DA" w:rsidRDefault="000D7101" w:rsidP="000D7101">
      <w:pPr>
        <w:pStyle w:val="Estilo"/>
        <w:ind w:right="18"/>
        <w:rPr>
          <w:rFonts w:eastAsia="Times New Roman" w:cs="Arial"/>
          <w:sz w:val="21"/>
          <w:szCs w:val="21"/>
          <w:lang w:eastAsia="es-ES"/>
        </w:rPr>
      </w:pPr>
      <w:r w:rsidRPr="00C441DA">
        <w:rPr>
          <w:rFonts w:eastAsia="Times New Roman" w:cs="Arial"/>
          <w:b/>
          <w:sz w:val="21"/>
          <w:szCs w:val="21"/>
          <w:lang w:eastAsia="es-ES"/>
        </w:rPr>
        <w:lastRenderedPageBreak/>
        <w:t>ARTÍCULO 69.-</w:t>
      </w:r>
      <w:r w:rsidRPr="00C441DA">
        <w:rPr>
          <w:rFonts w:eastAsia="Times New Roman" w:cs="Arial"/>
          <w:sz w:val="21"/>
          <w:szCs w:val="21"/>
          <w:lang w:eastAsia="es-ES"/>
        </w:rPr>
        <w:t xml:space="preserve"> Los actos u omisiones que impliquen el incumplimiento a los preceptos establecidos en el presente Reglamento y demás disposiciones aplicables en la materia, serán sancionados de conformidad con lo previsto en la Ley de Responsabilidades de los Servidores Públicos del Estado de Jalisco, independientemente de las sanciones y penas que otros ordenamientos legales señalen. </w:t>
      </w:r>
    </w:p>
    <w:p w:rsidR="000D7101" w:rsidRDefault="000D7101" w:rsidP="000D7101">
      <w:pPr>
        <w:pStyle w:val="Estilo"/>
        <w:ind w:right="18"/>
        <w:rPr>
          <w:rFonts w:eastAsia="Times New Roman" w:cs="Arial"/>
          <w:sz w:val="20"/>
          <w:szCs w:val="20"/>
          <w:lang w:eastAsia="es-ES"/>
        </w:rPr>
      </w:pPr>
    </w:p>
    <w:p w:rsidR="000D7101" w:rsidRDefault="000D7101" w:rsidP="000D7101">
      <w:pPr>
        <w:pStyle w:val="Estilo"/>
        <w:ind w:right="18"/>
        <w:rPr>
          <w:rFonts w:eastAsia="Times New Roman" w:cs="Arial"/>
          <w:sz w:val="20"/>
          <w:szCs w:val="20"/>
          <w:lang w:eastAsia="es-ES"/>
        </w:rPr>
      </w:pPr>
    </w:p>
    <w:p w:rsidR="000D7101" w:rsidRDefault="000D7101" w:rsidP="000D7101">
      <w:pPr>
        <w:jc w:val="center"/>
        <w:rPr>
          <w:rFonts w:ascii="Arial" w:hAnsi="Arial" w:cs="Arial"/>
          <w:b/>
          <w:sz w:val="22"/>
          <w:szCs w:val="22"/>
        </w:rPr>
      </w:pPr>
      <w:r>
        <w:rPr>
          <w:rFonts w:ascii="Arial" w:hAnsi="Arial" w:cs="Arial"/>
          <w:b/>
          <w:sz w:val="22"/>
          <w:szCs w:val="22"/>
        </w:rPr>
        <w:t>Artículos Transitorios</w:t>
      </w:r>
    </w:p>
    <w:p w:rsidR="000D7101" w:rsidRDefault="000D7101" w:rsidP="000D7101">
      <w:pPr>
        <w:jc w:val="center"/>
        <w:rPr>
          <w:rFonts w:ascii="Arial" w:hAnsi="Arial" w:cs="Arial"/>
          <w:sz w:val="20"/>
          <w:szCs w:val="20"/>
        </w:rPr>
      </w:pPr>
    </w:p>
    <w:p w:rsidR="000D7101" w:rsidRDefault="000D7101" w:rsidP="000D7101">
      <w:pPr>
        <w:jc w:val="both"/>
        <w:rPr>
          <w:rFonts w:ascii="Arial" w:hAnsi="Arial" w:cs="Arial"/>
          <w:sz w:val="20"/>
          <w:szCs w:val="20"/>
        </w:rPr>
      </w:pPr>
      <w:r>
        <w:rPr>
          <w:rFonts w:ascii="Arial" w:hAnsi="Arial" w:cs="Arial"/>
          <w:b/>
          <w:sz w:val="20"/>
          <w:szCs w:val="20"/>
        </w:rPr>
        <w:t>Primero.-</w:t>
      </w:r>
      <w:r>
        <w:rPr>
          <w:rFonts w:ascii="Arial" w:hAnsi="Arial" w:cs="Arial"/>
          <w:sz w:val="20"/>
          <w:szCs w:val="20"/>
        </w:rPr>
        <w:t xml:space="preserve"> El presente Reglamento entrará en vigor al día siguiente de su publicación en la Gaceta Municipal.</w:t>
      </w:r>
    </w:p>
    <w:p w:rsidR="000D7101" w:rsidRDefault="000D7101" w:rsidP="000D7101">
      <w:pPr>
        <w:jc w:val="both"/>
        <w:rPr>
          <w:rFonts w:ascii="Arial" w:hAnsi="Arial" w:cs="Arial"/>
          <w:sz w:val="20"/>
          <w:szCs w:val="20"/>
        </w:rPr>
      </w:pPr>
    </w:p>
    <w:p w:rsidR="000D7101" w:rsidRDefault="000D7101" w:rsidP="000D7101">
      <w:pPr>
        <w:jc w:val="both"/>
        <w:rPr>
          <w:rFonts w:ascii="Arial" w:hAnsi="Arial" w:cs="Arial"/>
          <w:sz w:val="20"/>
          <w:szCs w:val="20"/>
        </w:rPr>
      </w:pPr>
      <w:r>
        <w:rPr>
          <w:rFonts w:ascii="Arial" w:hAnsi="Arial" w:cs="Arial"/>
          <w:b/>
          <w:sz w:val="20"/>
          <w:szCs w:val="20"/>
        </w:rPr>
        <w:t>Segundo.-</w:t>
      </w:r>
      <w:r>
        <w:rPr>
          <w:rFonts w:ascii="Arial" w:hAnsi="Arial" w:cs="Arial"/>
          <w:sz w:val="20"/>
          <w:szCs w:val="20"/>
        </w:rPr>
        <w:t xml:space="preserve"> Se deroga el Reglamento de Viajes Oficiales y Viáticos del Municipio de Tlajomulco de Zúñiga; el Manual Relativo al Ejercicio y Control de Gastos de Pasajes y Viáticos del Ayuntamiento de Tlajomulco de Zúñiga; y el Manual de Control y Manejo de Fondos de Caja Chica, publicado de fecha 08 de junio de 2011, bajo el Volumen II, Publicación XI.</w:t>
      </w:r>
    </w:p>
    <w:p w:rsidR="000D7101" w:rsidRDefault="000D7101" w:rsidP="000D7101">
      <w:pPr>
        <w:jc w:val="both"/>
        <w:rPr>
          <w:rFonts w:ascii="Arial" w:hAnsi="Arial" w:cs="Arial"/>
          <w:sz w:val="20"/>
          <w:szCs w:val="20"/>
        </w:rPr>
      </w:pPr>
    </w:p>
    <w:p w:rsidR="000D7101" w:rsidRDefault="000D7101" w:rsidP="000D7101">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Los actos, trámites y procedimientos administrativos que se hayan iniciado en el ejercicio fiscal 2017 podrán desahogarse de conformidad con el presente Reglamento.</w:t>
      </w:r>
    </w:p>
    <w:p w:rsidR="000D7101" w:rsidRDefault="000D7101" w:rsidP="000D7101">
      <w:pPr>
        <w:jc w:val="both"/>
        <w:rPr>
          <w:rFonts w:ascii="Arial" w:hAnsi="Arial" w:cs="Arial"/>
          <w:sz w:val="20"/>
          <w:szCs w:val="20"/>
        </w:rPr>
      </w:pPr>
    </w:p>
    <w:p w:rsidR="000D7101" w:rsidRDefault="000D7101" w:rsidP="000D7101">
      <w:pPr>
        <w:jc w:val="both"/>
        <w:rPr>
          <w:rFonts w:ascii="Arial" w:hAnsi="Arial" w:cs="Arial"/>
          <w:b/>
          <w:sz w:val="20"/>
          <w:szCs w:val="20"/>
        </w:rPr>
      </w:pPr>
      <w:r>
        <w:rPr>
          <w:rFonts w:ascii="Arial" w:hAnsi="Arial" w:cs="Arial"/>
          <w:b/>
          <w:sz w:val="20"/>
          <w:szCs w:val="20"/>
        </w:rPr>
        <w:t xml:space="preserve">Cuarto.- </w:t>
      </w:r>
      <w:r>
        <w:rPr>
          <w:rFonts w:ascii="Arial" w:hAnsi="Arial" w:cs="Arial"/>
          <w:sz w:val="20"/>
          <w:szCs w:val="20"/>
        </w:rPr>
        <w:t xml:space="preserve">Se autoriza al Presidente Municipal, al Secretario General del Ayuntamiento, al Síndico Municipal y a la Tesorera Municipal a celebrar con las Entidades </w:t>
      </w:r>
      <w:proofErr w:type="spellStart"/>
      <w:r>
        <w:rPr>
          <w:rFonts w:ascii="Arial" w:hAnsi="Arial" w:cs="Arial"/>
          <w:sz w:val="20"/>
          <w:szCs w:val="20"/>
        </w:rPr>
        <w:t>Paramuncipales</w:t>
      </w:r>
      <w:proofErr w:type="spellEnd"/>
      <w:r>
        <w:rPr>
          <w:rFonts w:ascii="Arial" w:hAnsi="Arial" w:cs="Arial"/>
          <w:sz w:val="20"/>
          <w:szCs w:val="20"/>
        </w:rPr>
        <w:t>, los convenios necesarios para el correcto ejercicio del gasto a que se refiere el presente Reglamento.</w:t>
      </w:r>
    </w:p>
    <w:p w:rsidR="000D7101" w:rsidRDefault="000D7101" w:rsidP="000D7101">
      <w:pPr>
        <w:jc w:val="both"/>
        <w:rPr>
          <w:rFonts w:ascii="Arial" w:hAnsi="Arial" w:cs="Arial"/>
          <w:b/>
          <w:sz w:val="20"/>
          <w:szCs w:val="20"/>
        </w:rPr>
      </w:pPr>
    </w:p>
    <w:p w:rsidR="000D7101" w:rsidRDefault="000D7101" w:rsidP="000D7101">
      <w:pPr>
        <w:jc w:val="both"/>
        <w:rPr>
          <w:rFonts w:ascii="Arial" w:hAnsi="Arial" w:cs="Arial"/>
          <w:sz w:val="20"/>
          <w:szCs w:val="20"/>
        </w:rPr>
      </w:pPr>
      <w:r>
        <w:rPr>
          <w:rFonts w:ascii="Arial" w:hAnsi="Arial" w:cs="Arial"/>
          <w:b/>
          <w:sz w:val="20"/>
          <w:szCs w:val="20"/>
        </w:rPr>
        <w:t>Quinto.-</w:t>
      </w:r>
      <w:r>
        <w:rPr>
          <w:rFonts w:ascii="Arial" w:hAnsi="Arial" w:cs="Arial"/>
          <w:sz w:val="20"/>
          <w:szCs w:val="20"/>
        </w:rPr>
        <w:t xml:space="preserve"> Continuará vigente el Convenio de Colaboración aprobado en sesión ordinaria de 26 de febrero de 2016 bajo el punto de acuerdo 027/2016, en tanto el Ayuntamiento no determine su actualización o terminación.</w:t>
      </w:r>
    </w:p>
    <w:p w:rsidR="000D7101" w:rsidRDefault="000D7101" w:rsidP="000D7101">
      <w:pPr>
        <w:jc w:val="both"/>
        <w:rPr>
          <w:rFonts w:ascii="Arial" w:hAnsi="Arial" w:cs="Arial"/>
          <w:sz w:val="20"/>
          <w:szCs w:val="20"/>
        </w:rPr>
      </w:pPr>
    </w:p>
    <w:p w:rsidR="000D7101" w:rsidRDefault="000D7101" w:rsidP="000D7101">
      <w:pPr>
        <w:jc w:val="both"/>
        <w:rPr>
          <w:rFonts w:ascii="Arial" w:hAnsi="Arial" w:cs="Arial"/>
          <w:sz w:val="20"/>
          <w:szCs w:val="20"/>
        </w:rPr>
      </w:pPr>
      <w:r>
        <w:rPr>
          <w:rFonts w:ascii="Arial" w:hAnsi="Arial" w:cs="Arial"/>
          <w:b/>
          <w:sz w:val="20"/>
          <w:szCs w:val="20"/>
        </w:rPr>
        <w:t>Sexto.-</w:t>
      </w:r>
      <w:r>
        <w:rPr>
          <w:rFonts w:ascii="Arial" w:hAnsi="Arial" w:cs="Arial"/>
          <w:sz w:val="20"/>
          <w:szCs w:val="20"/>
        </w:rPr>
        <w:t xml:space="preserve"> Las Dependencias, Unidades Ejecutoras del Gasto y Entidades Paramunicipales, deberán realizar los ajustes necesarios para sujetarse al presente Reglamento con el auxilio de la Tesorería.</w:t>
      </w:r>
    </w:p>
    <w:p w:rsidR="000D7101" w:rsidRDefault="000D7101" w:rsidP="000D7101">
      <w:pPr>
        <w:jc w:val="both"/>
        <w:rPr>
          <w:rFonts w:ascii="Arial" w:hAnsi="Arial" w:cs="Arial"/>
          <w:sz w:val="20"/>
          <w:szCs w:val="20"/>
        </w:rPr>
      </w:pPr>
    </w:p>
    <w:p w:rsidR="000D7101" w:rsidRDefault="000D7101" w:rsidP="000D7101">
      <w:pPr>
        <w:jc w:val="both"/>
        <w:rPr>
          <w:rFonts w:ascii="Arial" w:hAnsi="Arial" w:cs="Arial"/>
          <w:sz w:val="20"/>
          <w:szCs w:val="20"/>
        </w:rPr>
      </w:pPr>
      <w:r>
        <w:rPr>
          <w:rFonts w:ascii="Arial" w:hAnsi="Arial" w:cs="Arial"/>
          <w:b/>
          <w:sz w:val="20"/>
          <w:szCs w:val="20"/>
        </w:rPr>
        <w:t xml:space="preserve">Séptimo.- </w:t>
      </w:r>
      <w:r>
        <w:rPr>
          <w:rFonts w:ascii="Arial" w:hAnsi="Arial" w:cs="Arial"/>
          <w:sz w:val="20"/>
          <w:szCs w:val="20"/>
        </w:rPr>
        <w:t>Para efecto de los manuales de operación:</w:t>
      </w:r>
    </w:p>
    <w:p w:rsidR="000D7101" w:rsidRDefault="000D7101" w:rsidP="000D7101">
      <w:pPr>
        <w:jc w:val="both"/>
        <w:rPr>
          <w:rFonts w:ascii="Arial" w:hAnsi="Arial" w:cs="Arial"/>
          <w:sz w:val="20"/>
          <w:szCs w:val="20"/>
        </w:rPr>
      </w:pPr>
    </w:p>
    <w:p w:rsidR="000D7101" w:rsidRDefault="000D7101" w:rsidP="000D7101">
      <w:pPr>
        <w:jc w:val="both"/>
        <w:rPr>
          <w:rFonts w:ascii="Arial" w:hAnsi="Arial" w:cs="Arial"/>
          <w:sz w:val="20"/>
          <w:szCs w:val="20"/>
        </w:rPr>
      </w:pPr>
      <w:r>
        <w:rPr>
          <w:rFonts w:ascii="Arial" w:hAnsi="Arial" w:cs="Arial"/>
          <w:sz w:val="20"/>
          <w:szCs w:val="20"/>
        </w:rPr>
        <w:t>I.- En el plazo de seis meses a partir de la entrada en vigor del presente Reglamento, la Dirección de Planeación Institucional en coordinación con las Dependencias, Unidades Ejecutoras del Gasto y Entidades Paramunicipales elaborará y presentará a las Comisiones Edilicias de Planeación del Desarrollo y de Administración Pública un diagnóstico de aquellos manuales que requieran ser elaborados o actualizados, para determinar su priorización; y</w:t>
      </w:r>
    </w:p>
    <w:p w:rsidR="000D7101" w:rsidRDefault="000D7101" w:rsidP="000D7101">
      <w:pPr>
        <w:jc w:val="both"/>
        <w:rPr>
          <w:rFonts w:ascii="Arial" w:hAnsi="Arial" w:cs="Arial"/>
          <w:sz w:val="20"/>
          <w:szCs w:val="20"/>
        </w:rPr>
      </w:pPr>
    </w:p>
    <w:p w:rsidR="000D7101" w:rsidRDefault="000D7101" w:rsidP="000D7101">
      <w:pPr>
        <w:jc w:val="both"/>
        <w:rPr>
          <w:rFonts w:ascii="Arial" w:hAnsi="Arial" w:cs="Arial"/>
          <w:b/>
          <w:sz w:val="20"/>
          <w:szCs w:val="20"/>
        </w:rPr>
      </w:pPr>
      <w:r>
        <w:rPr>
          <w:rFonts w:ascii="Arial" w:hAnsi="Arial" w:cs="Arial"/>
          <w:sz w:val="20"/>
          <w:szCs w:val="20"/>
        </w:rPr>
        <w:t>II.- Con el diagnóstico elaborado se aprobarán los proyectos a más tardar al 30 de septiembre del año 2018.”</w:t>
      </w:r>
    </w:p>
    <w:p w:rsidR="0068650D" w:rsidRPr="0083404F" w:rsidRDefault="0068650D" w:rsidP="0068650D">
      <w:pPr>
        <w:pStyle w:val="Predeterminado"/>
        <w:tabs>
          <w:tab w:val="left" w:pos="851"/>
        </w:tabs>
        <w:jc w:val="both"/>
        <w:rPr>
          <w:rFonts w:ascii="Verdana" w:hAnsi="Verdana"/>
          <w:i/>
          <w:sz w:val="20"/>
          <w:lang w:val="es-MX"/>
        </w:rPr>
      </w:pPr>
    </w:p>
    <w:p w:rsidR="0083404F" w:rsidRPr="0023264A" w:rsidRDefault="0083404F" w:rsidP="0083404F">
      <w:pPr>
        <w:spacing w:line="200" w:lineRule="atLeast"/>
        <w:ind w:right="51"/>
        <w:jc w:val="both"/>
        <w:rPr>
          <w:rFonts w:ascii="Arial" w:hAnsi="Arial" w:cs="Arial"/>
          <w:u w:val="single"/>
        </w:rPr>
      </w:pPr>
      <w:r w:rsidRPr="0023264A">
        <w:rPr>
          <w:rStyle w:val="Fuentedeprrafopredeter2"/>
          <w:rFonts w:ascii="Arial" w:hAnsi="Arial" w:cs="Arial"/>
          <w:b/>
          <w:u w:val="single"/>
        </w:rPr>
        <w:t xml:space="preserve">Nota: </w:t>
      </w:r>
      <w:r w:rsidRPr="0023264A">
        <w:rPr>
          <w:rStyle w:val="Fuentedeprrafopredeter2"/>
          <w:rFonts w:ascii="Arial" w:hAnsi="Arial" w:cs="Arial"/>
          <w:u w:val="single"/>
        </w:rPr>
        <w:t>La presen</w:t>
      </w:r>
      <w:r>
        <w:rPr>
          <w:rStyle w:val="Fuentedeprrafopredeter2"/>
          <w:rFonts w:ascii="Arial" w:hAnsi="Arial" w:cs="Arial"/>
          <w:u w:val="single"/>
        </w:rPr>
        <w:t>te ver</w:t>
      </w:r>
      <w:r w:rsidR="0068650D">
        <w:rPr>
          <w:rStyle w:val="Fuentedeprrafopredeter2"/>
          <w:rFonts w:ascii="Arial" w:hAnsi="Arial" w:cs="Arial"/>
          <w:u w:val="single"/>
        </w:rPr>
        <w:t>sión fue elaborada</w:t>
      </w:r>
      <w:r w:rsidR="000D7101">
        <w:rPr>
          <w:rStyle w:val="Fuentedeprrafopredeter2"/>
          <w:rFonts w:ascii="Arial" w:hAnsi="Arial" w:cs="Arial"/>
          <w:u w:val="single"/>
        </w:rPr>
        <w:t xml:space="preserve"> el día 07 siete del mes de julio</w:t>
      </w:r>
      <w:r>
        <w:rPr>
          <w:rStyle w:val="Fuentedeprrafopredeter2"/>
          <w:rFonts w:ascii="Arial" w:hAnsi="Arial" w:cs="Arial"/>
          <w:u w:val="single"/>
        </w:rPr>
        <w:t xml:space="preserve"> del año 2017 dos mil diecisiete</w:t>
      </w:r>
      <w:r w:rsidRPr="0023264A">
        <w:rPr>
          <w:rStyle w:val="Fuentedeprrafopredeter2"/>
          <w:rFonts w:ascii="Arial" w:hAnsi="Arial" w:cs="Arial"/>
          <w:u w:val="single"/>
        </w:rPr>
        <w:t xml:space="preserve"> en cumplimiento a lo dispuesto en el artículo 57 fracción VIII del Reglamento de General del Municipio de Tlajomulco de Zúñiga, Jalisco, sin embargo </w:t>
      </w:r>
      <w:r w:rsidRPr="0023264A">
        <w:rPr>
          <w:rFonts w:ascii="Arial" w:hAnsi="Arial" w:cs="Arial"/>
          <w:u w:val="single"/>
        </w:rPr>
        <w:t>la versión oficial es aquella que aparece publicada en la Gaceta Municipal.</w:t>
      </w:r>
    </w:p>
    <w:p w:rsidR="0057582F" w:rsidRPr="0083404F" w:rsidRDefault="0057582F" w:rsidP="0083404F">
      <w:pPr>
        <w:pStyle w:val="Predeterminado"/>
        <w:jc w:val="both"/>
        <w:rPr>
          <w:rFonts w:ascii="Verdana" w:hAnsi="Verdana"/>
          <w:sz w:val="20"/>
          <w:u w:val="single"/>
          <w:lang w:val="es-MX"/>
        </w:rPr>
      </w:pPr>
    </w:p>
    <w:sectPr w:rsidR="0057582F" w:rsidRPr="0083404F" w:rsidSect="00C75B5A">
      <w:headerReference w:type="default" r:id="rId9"/>
      <w:footerReference w:type="default" r:id="rId10"/>
      <w:pgSz w:w="12240" w:h="15840"/>
      <w:pgMar w:top="1417" w:right="1701" w:bottom="1417"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4F" w:rsidRDefault="0083404F" w:rsidP="00C75B5A">
      <w:pPr>
        <w:spacing w:line="240" w:lineRule="auto"/>
      </w:pPr>
      <w:r>
        <w:separator/>
      </w:r>
    </w:p>
  </w:endnote>
  <w:endnote w:type="continuationSeparator" w:id="0">
    <w:p w:rsidR="0083404F" w:rsidRDefault="0083404F" w:rsidP="00C75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DejaVu Sans">
    <w:charset w:val="00"/>
    <w:family w:val="swiss"/>
    <w:pitch w:val="variable"/>
    <w:sig w:usb0="E7000EFF" w:usb1="5200FDFF" w:usb2="0A042021"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4F" w:rsidRDefault="0083404F">
    <w:pPr>
      <w:pStyle w:val="Piedepgina"/>
    </w:pPr>
    <w:r>
      <w:rPr>
        <w:noProof/>
        <w:lang w:val="es-MX" w:eastAsia="es-MX" w:bidi="ar-SA"/>
      </w:rPr>
      <w:drawing>
        <wp:inline distT="0" distB="0" distL="0" distR="0">
          <wp:extent cx="1394460" cy="27432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394460" cy="274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4F" w:rsidRDefault="0083404F" w:rsidP="00C75B5A">
      <w:pPr>
        <w:spacing w:line="240" w:lineRule="auto"/>
      </w:pPr>
      <w:r>
        <w:separator/>
      </w:r>
    </w:p>
  </w:footnote>
  <w:footnote w:type="continuationSeparator" w:id="0">
    <w:p w:rsidR="0083404F" w:rsidRDefault="0083404F" w:rsidP="00C75B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17634" w:rsidTr="009809B5">
      <w:tc>
        <w:tcPr>
          <w:tcW w:w="4489" w:type="dxa"/>
        </w:tcPr>
        <w:p w:rsidR="00217634" w:rsidRDefault="00217634" w:rsidP="009809B5">
          <w:pPr>
            <w:pStyle w:val="Encabezamiento"/>
            <w:tabs>
              <w:tab w:val="clear" w:pos="4419"/>
              <w:tab w:val="clear" w:pos="8838"/>
              <w:tab w:val="center" w:pos="2136"/>
            </w:tabs>
          </w:pPr>
          <w:r>
            <w:rPr>
              <w:rFonts w:ascii="Tahoma" w:hAnsi="Tahoma" w:cs="Tahoma"/>
              <w:noProof/>
              <w:sz w:val="22"/>
              <w:szCs w:val="22"/>
              <w:lang w:val="es-MX" w:eastAsia="es-MX" w:bidi="ar-SA"/>
            </w:rPr>
            <w:drawing>
              <wp:inline distT="0" distB="0" distL="0" distR="0" wp14:anchorId="751E87FC" wp14:editId="2F53CC47">
                <wp:extent cx="461670" cy="574158"/>
                <wp:effectExtent l="0" t="0" r="0" b="0"/>
                <wp:docPr id="4" name="Imagen 4"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125" cy="582186"/>
                        </a:xfrm>
                        <a:prstGeom prst="rect">
                          <a:avLst/>
                        </a:prstGeom>
                        <a:noFill/>
                        <a:ln>
                          <a:noFill/>
                        </a:ln>
                      </pic:spPr>
                    </pic:pic>
                  </a:graphicData>
                </a:graphic>
              </wp:inline>
            </w:drawing>
          </w:r>
          <w:r>
            <w:tab/>
          </w:r>
        </w:p>
      </w:tc>
      <w:tc>
        <w:tcPr>
          <w:tcW w:w="4489" w:type="dxa"/>
        </w:tcPr>
        <w:p w:rsidR="00217634" w:rsidRDefault="00217634" w:rsidP="009809B5">
          <w:pPr>
            <w:pStyle w:val="Encabezamiento"/>
            <w:jc w:val="right"/>
          </w:pPr>
          <w:r>
            <w:rPr>
              <w:noProof/>
              <w:lang w:val="es-MX" w:eastAsia="es-MX" w:bidi="ar-SA"/>
            </w:rPr>
            <w:drawing>
              <wp:inline distT="0" distB="0" distL="0" distR="0" wp14:anchorId="3CD091D7" wp14:editId="2877BAFA">
                <wp:extent cx="1632498" cy="501162"/>
                <wp:effectExtent l="0" t="0" r="635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1631354" cy="500811"/>
                        </a:xfrm>
                        <a:prstGeom prst="rect">
                          <a:avLst/>
                        </a:prstGeom>
                        <a:noFill/>
                        <a:ln w="9525">
                          <a:noFill/>
                          <a:miter lim="800000"/>
                          <a:headEnd/>
                          <a:tailEnd/>
                        </a:ln>
                      </pic:spPr>
                    </pic:pic>
                  </a:graphicData>
                </a:graphic>
              </wp:inline>
            </w:drawing>
          </w:r>
        </w:p>
      </w:tc>
    </w:tr>
  </w:tbl>
  <w:p w:rsidR="0083404F" w:rsidRPr="00217634" w:rsidRDefault="0083404F" w:rsidP="002176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3A4"/>
    <w:multiLevelType w:val="hybridMultilevel"/>
    <w:tmpl w:val="FE48978A"/>
    <w:lvl w:ilvl="0" w:tplc="00000025">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12EBD"/>
    <w:multiLevelType w:val="hybridMultilevel"/>
    <w:tmpl w:val="8556DEE8"/>
    <w:lvl w:ilvl="0" w:tplc="24706110">
      <w:start w:val="10"/>
      <w:numFmt w:val="upperRoman"/>
      <w:lvlText w:val="%1."/>
      <w:lvlJc w:val="left"/>
      <w:pPr>
        <w:ind w:left="1080" w:hanging="720"/>
      </w:pPr>
      <w:rPr>
        <w:rFonts w:ascii="Verdana" w:eastAsia="Times New Roman" w:hAnsi="Verdana"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0875D2"/>
    <w:multiLevelType w:val="hybridMultilevel"/>
    <w:tmpl w:val="8566FE4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D2A3D"/>
    <w:multiLevelType w:val="hybridMultilevel"/>
    <w:tmpl w:val="8EB2B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B64D8"/>
    <w:multiLevelType w:val="hybridMultilevel"/>
    <w:tmpl w:val="BB3C61B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910E3A"/>
    <w:multiLevelType w:val="hybridMultilevel"/>
    <w:tmpl w:val="9AE27646"/>
    <w:lvl w:ilvl="0" w:tplc="F5B81CE4">
      <w:start w:val="1"/>
      <w:numFmt w:val="upperRoman"/>
      <w:lvlText w:val="%1."/>
      <w:lvlJc w:val="left"/>
      <w:pPr>
        <w:ind w:left="1080" w:hanging="720"/>
      </w:pPr>
      <w:rPr>
        <w:rFonts w:ascii="Verdana" w:eastAsia="Times New Roman" w:hAnsi="Verdana"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2530A9"/>
    <w:multiLevelType w:val="hybridMultilevel"/>
    <w:tmpl w:val="8DB4CE24"/>
    <w:lvl w:ilvl="0" w:tplc="90C07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2961B4"/>
    <w:multiLevelType w:val="hybridMultilevel"/>
    <w:tmpl w:val="0E6EEEB0"/>
    <w:lvl w:ilvl="0" w:tplc="D7EE5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562B05"/>
    <w:multiLevelType w:val="hybridMultilevel"/>
    <w:tmpl w:val="574C8E76"/>
    <w:lvl w:ilvl="0" w:tplc="080A0013">
      <w:start w:val="1"/>
      <w:numFmt w:val="upperRoman"/>
      <w:lvlText w:val="%1."/>
      <w:lvlJc w:val="righ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D26765"/>
    <w:multiLevelType w:val="hybridMultilevel"/>
    <w:tmpl w:val="A00A4ABC"/>
    <w:lvl w:ilvl="0" w:tplc="000000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1B7590"/>
    <w:multiLevelType w:val="hybridMultilevel"/>
    <w:tmpl w:val="19120606"/>
    <w:lvl w:ilvl="0" w:tplc="55A05D26">
      <w:start w:val="1"/>
      <w:numFmt w:val="upperRoman"/>
      <w:lvlText w:val="%1."/>
      <w:lvlJc w:val="left"/>
      <w:pPr>
        <w:ind w:left="1080" w:hanging="720"/>
      </w:pPr>
      <w:rPr>
        <w:rFonts w:hint="default"/>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05626B"/>
    <w:multiLevelType w:val="hybridMultilevel"/>
    <w:tmpl w:val="A646637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B482D4D"/>
    <w:multiLevelType w:val="hybridMultilevel"/>
    <w:tmpl w:val="3AC4DD94"/>
    <w:lvl w:ilvl="0" w:tplc="79E6F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276C59"/>
    <w:multiLevelType w:val="hybridMultilevel"/>
    <w:tmpl w:val="C9C41D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185753"/>
    <w:multiLevelType w:val="hybridMultilevel"/>
    <w:tmpl w:val="85AEEA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043461"/>
    <w:multiLevelType w:val="hybridMultilevel"/>
    <w:tmpl w:val="D2129FA8"/>
    <w:lvl w:ilvl="0" w:tplc="D0D87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FE1E72"/>
    <w:multiLevelType w:val="hybridMultilevel"/>
    <w:tmpl w:val="C7A0DB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4219C4"/>
    <w:multiLevelType w:val="hybridMultilevel"/>
    <w:tmpl w:val="2F8A4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A34C3D"/>
    <w:multiLevelType w:val="hybridMultilevel"/>
    <w:tmpl w:val="A7526E18"/>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nsid w:val="58F8723F"/>
    <w:multiLevelType w:val="hybridMultilevel"/>
    <w:tmpl w:val="6A28F7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4D4464"/>
    <w:multiLevelType w:val="hybridMultilevel"/>
    <w:tmpl w:val="A97442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E52607"/>
    <w:multiLevelType w:val="hybridMultilevel"/>
    <w:tmpl w:val="BBFEA1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CB648FD"/>
    <w:multiLevelType w:val="hybridMultilevel"/>
    <w:tmpl w:val="114E46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CC637E1"/>
    <w:multiLevelType w:val="hybridMultilevel"/>
    <w:tmpl w:val="94BA31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E7D0CA3"/>
    <w:multiLevelType w:val="hybridMultilevel"/>
    <w:tmpl w:val="E8441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BA1F8B"/>
    <w:multiLevelType w:val="hybridMultilevel"/>
    <w:tmpl w:val="8EBA03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0D1319"/>
    <w:multiLevelType w:val="hybridMultilevel"/>
    <w:tmpl w:val="74788814"/>
    <w:lvl w:ilvl="0" w:tplc="426A6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621E5A"/>
    <w:multiLevelType w:val="hybridMultilevel"/>
    <w:tmpl w:val="40BE0D40"/>
    <w:lvl w:ilvl="0" w:tplc="9C7A97E6">
      <w:start w:val="15"/>
      <w:numFmt w:val="upperRoman"/>
      <w:lvlText w:val="%1."/>
      <w:lvlJc w:val="left"/>
      <w:pPr>
        <w:ind w:left="1080" w:hanging="720"/>
      </w:pPr>
      <w:rPr>
        <w:rFonts w:ascii="Verdana" w:eastAsia="Times New Roman" w:hAnsi="Verdana"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58E1D38"/>
    <w:multiLevelType w:val="hybridMultilevel"/>
    <w:tmpl w:val="2F8A4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4F1EC1"/>
    <w:multiLevelType w:val="hybridMultilevel"/>
    <w:tmpl w:val="8566FE4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6510E8"/>
    <w:multiLevelType w:val="hybridMultilevel"/>
    <w:tmpl w:val="85720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3"/>
  </w:num>
  <w:num w:numId="3">
    <w:abstractNumId w:val="18"/>
  </w:num>
  <w:num w:numId="4">
    <w:abstractNumId w:val="24"/>
  </w:num>
  <w:num w:numId="5">
    <w:abstractNumId w:val="25"/>
  </w:num>
  <w:num w:numId="6">
    <w:abstractNumId w:val="19"/>
  </w:num>
  <w:num w:numId="7">
    <w:abstractNumId w:val="14"/>
  </w:num>
  <w:num w:numId="8">
    <w:abstractNumId w:val="8"/>
  </w:num>
  <w:num w:numId="9">
    <w:abstractNumId w:val="3"/>
  </w:num>
  <w:num w:numId="10">
    <w:abstractNumId w:val="0"/>
  </w:num>
  <w:num w:numId="11">
    <w:abstractNumId w:val="9"/>
  </w:num>
  <w:num w:numId="12">
    <w:abstractNumId w:val="26"/>
  </w:num>
  <w:num w:numId="13">
    <w:abstractNumId w:val="7"/>
  </w:num>
  <w:num w:numId="14">
    <w:abstractNumId w:val="6"/>
  </w:num>
  <w:num w:numId="15">
    <w:abstractNumId w:val="21"/>
  </w:num>
  <w:num w:numId="16">
    <w:abstractNumId w:val="15"/>
  </w:num>
  <w:num w:numId="17">
    <w:abstractNumId w:val="20"/>
  </w:num>
  <w:num w:numId="18">
    <w:abstractNumId w:val="5"/>
  </w:num>
  <w:num w:numId="19">
    <w:abstractNumId w:val="17"/>
  </w:num>
  <w:num w:numId="20">
    <w:abstractNumId w:val="28"/>
  </w:num>
  <w:num w:numId="21">
    <w:abstractNumId w:val="11"/>
  </w:num>
  <w:num w:numId="22">
    <w:abstractNumId w:val="16"/>
  </w:num>
  <w:num w:numId="23">
    <w:abstractNumId w:val="22"/>
  </w:num>
  <w:num w:numId="24">
    <w:abstractNumId w:val="29"/>
  </w:num>
  <w:num w:numId="25">
    <w:abstractNumId w:val="2"/>
  </w:num>
  <w:num w:numId="26">
    <w:abstractNumId w:val="4"/>
  </w:num>
  <w:num w:numId="27">
    <w:abstractNumId w:val="23"/>
  </w:num>
  <w:num w:numId="28">
    <w:abstractNumId w:val="1"/>
  </w:num>
  <w:num w:numId="29">
    <w:abstractNumId w:val="27"/>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5A"/>
    <w:rsid w:val="000922A0"/>
    <w:rsid w:val="000D7101"/>
    <w:rsid w:val="00130D4F"/>
    <w:rsid w:val="0014679E"/>
    <w:rsid w:val="001B58B3"/>
    <w:rsid w:val="001E2F34"/>
    <w:rsid w:val="00217634"/>
    <w:rsid w:val="00230EF7"/>
    <w:rsid w:val="002B5F42"/>
    <w:rsid w:val="002D09D2"/>
    <w:rsid w:val="00314C0B"/>
    <w:rsid w:val="003264B1"/>
    <w:rsid w:val="00522D8B"/>
    <w:rsid w:val="005549AC"/>
    <w:rsid w:val="0057582F"/>
    <w:rsid w:val="0068650D"/>
    <w:rsid w:val="006C6290"/>
    <w:rsid w:val="007D5254"/>
    <w:rsid w:val="0083404F"/>
    <w:rsid w:val="0089165F"/>
    <w:rsid w:val="008E2141"/>
    <w:rsid w:val="00966835"/>
    <w:rsid w:val="009963CF"/>
    <w:rsid w:val="009A1274"/>
    <w:rsid w:val="009B56F5"/>
    <w:rsid w:val="00AB1459"/>
    <w:rsid w:val="00B177A8"/>
    <w:rsid w:val="00B35AFB"/>
    <w:rsid w:val="00BA09F1"/>
    <w:rsid w:val="00C75B5A"/>
    <w:rsid w:val="00DE2B53"/>
    <w:rsid w:val="00E01B67"/>
    <w:rsid w:val="00EF19C4"/>
    <w:rsid w:val="00FE2C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B5A"/>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3">
    <w:name w:val="heading 3"/>
    <w:basedOn w:val="Normal"/>
    <w:next w:val="Normal"/>
    <w:link w:val="Ttulo3Car"/>
    <w:qFormat/>
    <w:rsid w:val="000D7101"/>
    <w:pPr>
      <w:keepNext/>
      <w:keepLines/>
      <w:tabs>
        <w:tab w:val="clear" w:pos="708"/>
      </w:tabs>
      <w:suppressAutoHyphens w:val="0"/>
      <w:spacing w:line="276" w:lineRule="auto"/>
      <w:jc w:val="center"/>
      <w:outlineLvl w:val="2"/>
    </w:pPr>
    <w:rPr>
      <w:rFonts w:ascii="Arial" w:eastAsia="Arial" w:hAnsi="Arial" w:cs="Times New Roman"/>
      <w:b/>
      <w:sz w:val="20"/>
      <w:szCs w:val="28"/>
      <w:lang w:val="x-none"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5B5A"/>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C75B5A"/>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C75B5A"/>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C75B5A"/>
    <w:rPr>
      <w:rFonts w:ascii="Tahoma" w:eastAsia="Times New Roman" w:hAnsi="Tahoma" w:cs="Tahoma"/>
      <w:sz w:val="16"/>
      <w:szCs w:val="16"/>
      <w:lang w:val="es-ES" w:eastAsia="es-ES"/>
    </w:rPr>
  </w:style>
  <w:style w:type="paragraph" w:styleId="Encabezado">
    <w:name w:val="header"/>
    <w:basedOn w:val="Predeterminado"/>
    <w:next w:val="Cuerpodetexto"/>
    <w:rsid w:val="00C75B5A"/>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C75B5A"/>
    <w:pPr>
      <w:spacing w:after="120"/>
    </w:pPr>
  </w:style>
  <w:style w:type="paragraph" w:styleId="Lista">
    <w:name w:val="List"/>
    <w:basedOn w:val="Cuerpodetexto"/>
    <w:rsid w:val="00C75B5A"/>
    <w:rPr>
      <w:rFonts w:cs="Mangal"/>
    </w:rPr>
  </w:style>
  <w:style w:type="paragraph" w:customStyle="1" w:styleId="Etiqueta">
    <w:name w:val="Etiqueta"/>
    <w:basedOn w:val="Predeterminado"/>
    <w:rsid w:val="00C75B5A"/>
    <w:pPr>
      <w:suppressLineNumbers/>
      <w:spacing w:before="120" w:after="120"/>
    </w:pPr>
    <w:rPr>
      <w:rFonts w:cs="Mangal"/>
      <w:i/>
      <w:iCs/>
      <w:szCs w:val="24"/>
    </w:rPr>
  </w:style>
  <w:style w:type="paragraph" w:customStyle="1" w:styleId="ndice">
    <w:name w:val="Índice"/>
    <w:basedOn w:val="Predeterminado"/>
    <w:rsid w:val="00C75B5A"/>
    <w:pPr>
      <w:suppressLineNumbers/>
    </w:pPr>
    <w:rPr>
      <w:rFonts w:cs="Mangal"/>
    </w:rPr>
  </w:style>
  <w:style w:type="paragraph" w:styleId="Prrafodelista">
    <w:name w:val="List Paragraph"/>
    <w:basedOn w:val="Predeterminado"/>
    <w:uiPriority w:val="34"/>
    <w:qFormat/>
    <w:rsid w:val="00C75B5A"/>
    <w:pPr>
      <w:ind w:left="720"/>
    </w:pPr>
  </w:style>
  <w:style w:type="paragraph" w:customStyle="1" w:styleId="Encabezamiento">
    <w:name w:val="Encabezamiento"/>
    <w:basedOn w:val="Predeterminado"/>
    <w:rsid w:val="00C75B5A"/>
    <w:pPr>
      <w:suppressLineNumbers/>
      <w:tabs>
        <w:tab w:val="center" w:pos="4419"/>
        <w:tab w:val="right" w:pos="8838"/>
      </w:tabs>
    </w:pPr>
  </w:style>
  <w:style w:type="paragraph" w:styleId="Piedepgina">
    <w:name w:val="footer"/>
    <w:basedOn w:val="Predeterminado"/>
    <w:rsid w:val="00C75B5A"/>
    <w:pPr>
      <w:suppressLineNumbers/>
      <w:tabs>
        <w:tab w:val="center" w:pos="4419"/>
        <w:tab w:val="right" w:pos="8838"/>
      </w:tabs>
    </w:pPr>
  </w:style>
  <w:style w:type="paragraph" w:styleId="Textodeglobo">
    <w:name w:val="Balloon Text"/>
    <w:basedOn w:val="Predeterminado"/>
    <w:rsid w:val="00C75B5A"/>
    <w:rPr>
      <w:rFonts w:ascii="Tahoma" w:hAnsi="Tahoma" w:cs="Tahoma"/>
      <w:sz w:val="16"/>
      <w:szCs w:val="16"/>
    </w:rPr>
  </w:style>
  <w:style w:type="paragraph" w:customStyle="1" w:styleId="Standard">
    <w:name w:val="Standard"/>
    <w:link w:val="StandardCar"/>
    <w:rsid w:val="007D525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7D5254"/>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uiPriority w:val="99"/>
    <w:rsid w:val="00E01B67"/>
    <w:pPr>
      <w:widowControl w:val="0"/>
      <w:spacing w:before="280" w:after="280"/>
    </w:pPr>
    <w:rPr>
      <w:rFonts w:eastAsia="SimSun" w:cs="Mangal"/>
      <w:lang w:bidi="hi-IN"/>
    </w:rPr>
  </w:style>
  <w:style w:type="character" w:customStyle="1" w:styleId="Fuentedeprrafopredeter2">
    <w:name w:val="Fuente de párrafo predeter.2"/>
    <w:rsid w:val="00E01B67"/>
  </w:style>
  <w:style w:type="paragraph" w:customStyle="1" w:styleId="Default">
    <w:name w:val="Default"/>
    <w:rsid w:val="00E01B67"/>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iPriority w:val="99"/>
    <w:unhideWhenUsed/>
    <w:rsid w:val="00E01B67"/>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E01B67"/>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sid w:val="00E01B67"/>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E01B67"/>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E01B67"/>
    <w:rPr>
      <w:rFonts w:ascii="Arial" w:eastAsia="Calibri" w:hAnsi="Arial" w:cs="Times New Roman"/>
      <w:sz w:val="24"/>
      <w:lang w:eastAsia="en-US"/>
    </w:rPr>
  </w:style>
  <w:style w:type="paragraph" w:customStyle="1" w:styleId="Ttulo11">
    <w:name w:val="Título 11"/>
    <w:basedOn w:val="Normal"/>
    <w:uiPriority w:val="1"/>
    <w:qFormat/>
    <w:rsid w:val="00E01B67"/>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Standarduser">
    <w:name w:val="Standard (user)"/>
    <w:rsid w:val="0083404F"/>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StandardCar">
    <w:name w:val="Standard Car"/>
    <w:link w:val="Standard"/>
    <w:rsid w:val="0083404F"/>
    <w:rPr>
      <w:rFonts w:ascii="Times New Roman" w:eastAsia="Times New Roman" w:hAnsi="Times New Roman" w:cs="Times New Roman"/>
      <w:kern w:val="3"/>
      <w:sz w:val="24"/>
      <w:szCs w:val="24"/>
      <w:lang w:val="es-ES" w:eastAsia="zh-CN"/>
    </w:rPr>
  </w:style>
  <w:style w:type="character" w:customStyle="1" w:styleId="Ttulo3Car">
    <w:name w:val="Título 3 Car"/>
    <w:basedOn w:val="Fuentedeprrafopredeter"/>
    <w:link w:val="Ttulo3"/>
    <w:rsid w:val="000D7101"/>
    <w:rPr>
      <w:rFonts w:ascii="Arial" w:eastAsia="Arial" w:hAnsi="Arial" w:cs="Times New Roman"/>
      <w:b/>
      <w:color w:val="000000"/>
      <w:sz w:val="20"/>
      <w:szCs w:val="28"/>
      <w:lang w:val="x-none"/>
    </w:rPr>
  </w:style>
  <w:style w:type="table" w:styleId="Tablaconcuadrcula">
    <w:name w:val="Table Grid"/>
    <w:basedOn w:val="Tablanormal"/>
    <w:uiPriority w:val="59"/>
    <w:rsid w:val="0021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B5A"/>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3">
    <w:name w:val="heading 3"/>
    <w:basedOn w:val="Normal"/>
    <w:next w:val="Normal"/>
    <w:link w:val="Ttulo3Car"/>
    <w:qFormat/>
    <w:rsid w:val="000D7101"/>
    <w:pPr>
      <w:keepNext/>
      <w:keepLines/>
      <w:tabs>
        <w:tab w:val="clear" w:pos="708"/>
      </w:tabs>
      <w:suppressAutoHyphens w:val="0"/>
      <w:spacing w:line="276" w:lineRule="auto"/>
      <w:jc w:val="center"/>
      <w:outlineLvl w:val="2"/>
    </w:pPr>
    <w:rPr>
      <w:rFonts w:ascii="Arial" w:eastAsia="Arial" w:hAnsi="Arial" w:cs="Times New Roman"/>
      <w:b/>
      <w:sz w:val="20"/>
      <w:szCs w:val="28"/>
      <w:lang w:val="x-none"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5B5A"/>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C75B5A"/>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C75B5A"/>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C75B5A"/>
    <w:rPr>
      <w:rFonts w:ascii="Tahoma" w:eastAsia="Times New Roman" w:hAnsi="Tahoma" w:cs="Tahoma"/>
      <w:sz w:val="16"/>
      <w:szCs w:val="16"/>
      <w:lang w:val="es-ES" w:eastAsia="es-ES"/>
    </w:rPr>
  </w:style>
  <w:style w:type="paragraph" w:styleId="Encabezado">
    <w:name w:val="header"/>
    <w:basedOn w:val="Predeterminado"/>
    <w:next w:val="Cuerpodetexto"/>
    <w:rsid w:val="00C75B5A"/>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C75B5A"/>
    <w:pPr>
      <w:spacing w:after="120"/>
    </w:pPr>
  </w:style>
  <w:style w:type="paragraph" w:styleId="Lista">
    <w:name w:val="List"/>
    <w:basedOn w:val="Cuerpodetexto"/>
    <w:rsid w:val="00C75B5A"/>
    <w:rPr>
      <w:rFonts w:cs="Mangal"/>
    </w:rPr>
  </w:style>
  <w:style w:type="paragraph" w:customStyle="1" w:styleId="Etiqueta">
    <w:name w:val="Etiqueta"/>
    <w:basedOn w:val="Predeterminado"/>
    <w:rsid w:val="00C75B5A"/>
    <w:pPr>
      <w:suppressLineNumbers/>
      <w:spacing w:before="120" w:after="120"/>
    </w:pPr>
    <w:rPr>
      <w:rFonts w:cs="Mangal"/>
      <w:i/>
      <w:iCs/>
      <w:szCs w:val="24"/>
    </w:rPr>
  </w:style>
  <w:style w:type="paragraph" w:customStyle="1" w:styleId="ndice">
    <w:name w:val="Índice"/>
    <w:basedOn w:val="Predeterminado"/>
    <w:rsid w:val="00C75B5A"/>
    <w:pPr>
      <w:suppressLineNumbers/>
    </w:pPr>
    <w:rPr>
      <w:rFonts w:cs="Mangal"/>
    </w:rPr>
  </w:style>
  <w:style w:type="paragraph" w:styleId="Prrafodelista">
    <w:name w:val="List Paragraph"/>
    <w:basedOn w:val="Predeterminado"/>
    <w:uiPriority w:val="34"/>
    <w:qFormat/>
    <w:rsid w:val="00C75B5A"/>
    <w:pPr>
      <w:ind w:left="720"/>
    </w:pPr>
  </w:style>
  <w:style w:type="paragraph" w:customStyle="1" w:styleId="Encabezamiento">
    <w:name w:val="Encabezamiento"/>
    <w:basedOn w:val="Predeterminado"/>
    <w:rsid w:val="00C75B5A"/>
    <w:pPr>
      <w:suppressLineNumbers/>
      <w:tabs>
        <w:tab w:val="center" w:pos="4419"/>
        <w:tab w:val="right" w:pos="8838"/>
      </w:tabs>
    </w:pPr>
  </w:style>
  <w:style w:type="paragraph" w:styleId="Piedepgina">
    <w:name w:val="footer"/>
    <w:basedOn w:val="Predeterminado"/>
    <w:rsid w:val="00C75B5A"/>
    <w:pPr>
      <w:suppressLineNumbers/>
      <w:tabs>
        <w:tab w:val="center" w:pos="4419"/>
        <w:tab w:val="right" w:pos="8838"/>
      </w:tabs>
    </w:pPr>
  </w:style>
  <w:style w:type="paragraph" w:styleId="Textodeglobo">
    <w:name w:val="Balloon Text"/>
    <w:basedOn w:val="Predeterminado"/>
    <w:rsid w:val="00C75B5A"/>
    <w:rPr>
      <w:rFonts w:ascii="Tahoma" w:hAnsi="Tahoma" w:cs="Tahoma"/>
      <w:sz w:val="16"/>
      <w:szCs w:val="16"/>
    </w:rPr>
  </w:style>
  <w:style w:type="paragraph" w:customStyle="1" w:styleId="Standard">
    <w:name w:val="Standard"/>
    <w:link w:val="StandardCar"/>
    <w:rsid w:val="007D525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7D5254"/>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uiPriority w:val="99"/>
    <w:rsid w:val="00E01B67"/>
    <w:pPr>
      <w:widowControl w:val="0"/>
      <w:spacing w:before="280" w:after="280"/>
    </w:pPr>
    <w:rPr>
      <w:rFonts w:eastAsia="SimSun" w:cs="Mangal"/>
      <w:lang w:bidi="hi-IN"/>
    </w:rPr>
  </w:style>
  <w:style w:type="character" w:customStyle="1" w:styleId="Fuentedeprrafopredeter2">
    <w:name w:val="Fuente de párrafo predeter.2"/>
    <w:rsid w:val="00E01B67"/>
  </w:style>
  <w:style w:type="paragraph" w:customStyle="1" w:styleId="Default">
    <w:name w:val="Default"/>
    <w:rsid w:val="00E01B67"/>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iPriority w:val="99"/>
    <w:unhideWhenUsed/>
    <w:rsid w:val="00E01B67"/>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E01B67"/>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sid w:val="00E01B67"/>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E01B67"/>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E01B67"/>
    <w:rPr>
      <w:rFonts w:ascii="Arial" w:eastAsia="Calibri" w:hAnsi="Arial" w:cs="Times New Roman"/>
      <w:sz w:val="24"/>
      <w:lang w:eastAsia="en-US"/>
    </w:rPr>
  </w:style>
  <w:style w:type="paragraph" w:customStyle="1" w:styleId="Ttulo11">
    <w:name w:val="Título 11"/>
    <w:basedOn w:val="Normal"/>
    <w:uiPriority w:val="1"/>
    <w:qFormat/>
    <w:rsid w:val="00E01B67"/>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Standarduser">
    <w:name w:val="Standard (user)"/>
    <w:rsid w:val="0083404F"/>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StandardCar">
    <w:name w:val="Standard Car"/>
    <w:link w:val="Standard"/>
    <w:rsid w:val="0083404F"/>
    <w:rPr>
      <w:rFonts w:ascii="Times New Roman" w:eastAsia="Times New Roman" w:hAnsi="Times New Roman" w:cs="Times New Roman"/>
      <w:kern w:val="3"/>
      <w:sz w:val="24"/>
      <w:szCs w:val="24"/>
      <w:lang w:val="es-ES" w:eastAsia="zh-CN"/>
    </w:rPr>
  </w:style>
  <w:style w:type="character" w:customStyle="1" w:styleId="Ttulo3Car">
    <w:name w:val="Título 3 Car"/>
    <w:basedOn w:val="Fuentedeprrafopredeter"/>
    <w:link w:val="Ttulo3"/>
    <w:rsid w:val="000D7101"/>
    <w:rPr>
      <w:rFonts w:ascii="Arial" w:eastAsia="Arial" w:hAnsi="Arial" w:cs="Times New Roman"/>
      <w:b/>
      <w:color w:val="000000"/>
      <w:sz w:val="20"/>
      <w:szCs w:val="28"/>
      <w:lang w:val="x-none"/>
    </w:rPr>
  </w:style>
  <w:style w:type="table" w:styleId="Tablaconcuadrcula">
    <w:name w:val="Table Grid"/>
    <w:basedOn w:val="Tablanormal"/>
    <w:uiPriority w:val="59"/>
    <w:rsid w:val="0021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8120</Words>
  <Characters>44663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2017-07-06T18:42:00Z</dcterms:created>
  <dcterms:modified xsi:type="dcterms:W3CDTF">2017-07-10T17:14:00Z</dcterms:modified>
</cp:coreProperties>
</file>